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6AF4B" w14:textId="77777777" w:rsidR="00830FCB" w:rsidRDefault="00830FCB" w:rsidP="00830FCB">
      <w:r>
        <w:t>И з в л е ч е н и е</w:t>
      </w:r>
    </w:p>
    <w:p w14:paraId="41AFD791" w14:textId="77777777" w:rsidR="00830FCB" w:rsidRDefault="00830FCB" w:rsidP="00830FCB">
      <w:r>
        <w:t>из Положения о работе с депозитным счетом (счетом по учету</w:t>
      </w:r>
    </w:p>
    <w:p w14:paraId="11EDB12B" w14:textId="77777777" w:rsidR="00830FCB" w:rsidRDefault="00830FCB" w:rsidP="00830FCB">
      <w:r>
        <w:t>средств, поступивших во временное распоряжение)</w:t>
      </w:r>
    </w:p>
    <w:p w14:paraId="66B269C7" w14:textId="77777777" w:rsidR="00830FCB" w:rsidRDefault="00830FCB" w:rsidP="00830FCB">
      <w:r>
        <w:t>(утверждено Заместителем Председателя Высшего Арбитражного Суда</w:t>
      </w:r>
    </w:p>
    <w:p w14:paraId="6590E91B" w14:textId="77777777" w:rsidR="00830FCB" w:rsidRDefault="00830FCB" w:rsidP="00830FCB">
      <w:r>
        <w:t>Российской Федерации 06.09.2005)</w:t>
      </w:r>
    </w:p>
    <w:p w14:paraId="034BADA5" w14:textId="77777777" w:rsidR="00830FCB" w:rsidRDefault="00830FCB" w:rsidP="00830FCB"/>
    <w:p w14:paraId="09513796" w14:textId="77777777" w:rsidR="00830FCB" w:rsidRDefault="00830FCB" w:rsidP="00830FCB">
      <w:r>
        <w:t xml:space="preserve">     Внесение средств на депозитный счет суда</w:t>
      </w:r>
    </w:p>
    <w:p w14:paraId="0BCE2228" w14:textId="77777777" w:rsidR="00830FCB" w:rsidRDefault="00830FCB" w:rsidP="00830FCB">
      <w:r>
        <w:t xml:space="preserve">     2.1. На депозитный счет вносятся суммы лицами, участвующими в деле, в порядке встречного обеспечения при рассмотрении арбитражными судами заявлений о принятии обеспечительных мер, а также лицами, заявившими ходатайство о назначении экспертизы, вызове свидетелей, привлечении переводчика в случаях, предусмотренных Арбитражным процессуальным кодексом Российской Федерации.</w:t>
      </w:r>
    </w:p>
    <w:p w14:paraId="7E010686" w14:textId="77777777" w:rsidR="00830FCB" w:rsidRDefault="00830FCB" w:rsidP="00830FCB">
      <w:r>
        <w:t xml:space="preserve">     В назначении платежа обязательно указывается, за что вносится оплата и полностью указывается номер дела (например, оплата за экспертизу по делу № А40-6897/04-15-89).</w:t>
      </w:r>
    </w:p>
    <w:p w14:paraId="086447DC" w14:textId="77777777" w:rsidR="00830FCB" w:rsidRDefault="00830FCB" w:rsidP="00830FCB">
      <w:r>
        <w:t xml:space="preserve">     2.2. Внесение денежных средств, перечисляемых юридическими лицами, осуществляется по платежным поручениям заявителей (см. образец).</w:t>
      </w:r>
    </w:p>
    <w:p w14:paraId="0A257534" w14:textId="77777777" w:rsidR="00830FCB" w:rsidRDefault="00830FCB" w:rsidP="00830FCB">
      <w:r>
        <w:t xml:space="preserve">     Внесение денежных средств от граждан, осуществляющих предпринимательскую деятельность без образования юридического лица, имеющих статус индивидуального предпринимателя, или граждан, не имеющих статуса индивидуального предпринимателя (физические лица) и производящих оплату без открытия банковского счета, производится через банк, осуществляющий операции по обслуживанию физических лиц по платежному документу, установленному банком (см. образец квитанции).</w:t>
      </w:r>
    </w:p>
    <w:p w14:paraId="5A0DFACB" w14:textId="77777777" w:rsidR="00830FCB" w:rsidRDefault="00830FCB" w:rsidP="00830FCB">
      <w:r>
        <w:t xml:space="preserve">     2.3. Подтверждением внесения денежных средств является платежный документ с отметкой банка об исполнении.</w:t>
      </w:r>
    </w:p>
    <w:p w14:paraId="655B32B5" w14:textId="77777777" w:rsidR="00830FCB" w:rsidRDefault="00830FCB" w:rsidP="00830FCB">
      <w:r>
        <w:t xml:space="preserve">     Копия платежного документа, по которому производилось внесение средств на депозитный счет суда, в обязательном порядке представляется судье для приобщения к материалам дела.</w:t>
      </w:r>
    </w:p>
    <w:p w14:paraId="76B53858" w14:textId="77777777" w:rsidR="00830FCB" w:rsidRDefault="00830FCB" w:rsidP="00830FCB">
      <w:r>
        <w:t xml:space="preserve">     Перечисление средств с депозитного счета</w:t>
      </w:r>
    </w:p>
    <w:p w14:paraId="213F8C12" w14:textId="77777777" w:rsidR="00830FCB" w:rsidRDefault="00830FCB" w:rsidP="00830FCB">
      <w:r>
        <w:t xml:space="preserve">     4.1. Перечисление денежных средств с депозитного счета производится бухгалтерией суда только на основании судебного акта, содержащего указание в резолютивной части о выплате денежных средств лицам, участвующим в деле, за счет средств, внесенных в порядке встречного обеспечения, денежных сумм, причитающихся эксперту, свидетелям, переводчикам в связи с выполнением ими своих обязанностей в случаях, предусмотренных Арбитражным процессуальным </w:t>
      </w:r>
      <w:r>
        <w:lastRenderedPageBreak/>
        <w:t>кодексом Российской Федерации, или о возврате средств плательщику, за исключением случаев ошибочного зачисления средств.</w:t>
      </w:r>
    </w:p>
    <w:p w14:paraId="1DED4B02" w14:textId="77777777" w:rsidR="00830FCB" w:rsidRDefault="00830FCB" w:rsidP="00830FCB">
      <w:r>
        <w:t xml:space="preserve">     4.2. Возврат ошибочно зачисленных средств, (в том числе ошибочно зачисленной государственной пошлины) производится на основании письменного заявления физического или юридического лица. Главный бухгалтер или лицо его заменяющее составляет на имя Председателя суда справку, подтверждающую зачисление на депозитный счет суда указанной в заявлении суммы. На основании заявления и справки Председатель суда делает резолюцию о возврате.</w:t>
      </w:r>
    </w:p>
    <w:p w14:paraId="3363559B" w14:textId="77777777" w:rsidR="00830FCB" w:rsidRDefault="00830FCB" w:rsidP="00830FCB">
      <w:r>
        <w:t xml:space="preserve">     4.4. Перечисление денежных средств производится только безналичным путем:</w:t>
      </w:r>
    </w:p>
    <w:p w14:paraId="04D7F8E6" w14:textId="77777777" w:rsidR="00830FCB" w:rsidRDefault="00830FCB" w:rsidP="00830FCB">
      <w:r>
        <w:t xml:space="preserve">     - юридическим лицам - на расчетный счет;</w:t>
      </w:r>
    </w:p>
    <w:p w14:paraId="6C743E02" w14:textId="77777777" w:rsidR="00830FCB" w:rsidRDefault="00830FCB" w:rsidP="00830FCB">
      <w:r>
        <w:t xml:space="preserve">     - физическим лицам - на лицевой счет физического лица, открытый в кредитной организации.</w:t>
      </w:r>
    </w:p>
    <w:p w14:paraId="427BC43E" w14:textId="77777777" w:rsidR="00830FCB" w:rsidRDefault="00830FCB" w:rsidP="00830FCB">
      <w:r>
        <w:t xml:space="preserve">     4.5. В случае отсутствия банковских реквизитов оплата по судебному акту не производится.</w:t>
      </w:r>
    </w:p>
    <w:p w14:paraId="22FC1EFE" w14:textId="21245F8F" w:rsidR="00790F4F" w:rsidRPr="00830FCB" w:rsidRDefault="00830FCB" w:rsidP="00830FCB">
      <w:r>
        <w:t xml:space="preserve">     4.6. Невостребованные сторонами средства (в том числе ошибочно зачисленная государственная пошлина) списываются с депозитного счета по истечении трех лет со дня их внесения на основании акта о списании, утверждаемого Председателем суда, с последующим перечислением невостребованных средств в доход федерального бюджета.</w:t>
      </w:r>
    </w:p>
    <w:sectPr w:rsidR="00790F4F" w:rsidRPr="00830FCB" w:rsidSect="002E4DBA">
      <w:headerReference w:type="even" r:id="rId8"/>
      <w:headerReference w:type="default" r:id="rId9"/>
      <w:footerReference w:type="even" r:id="rId10"/>
      <w:footerReference w:type="default" r:id="rId11"/>
      <w:pgSz w:w="12240" w:h="158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0633F" w14:textId="77777777" w:rsidR="00672BA9" w:rsidRDefault="00672BA9">
      <w:pPr>
        <w:spacing w:after="0" w:line="240" w:lineRule="auto"/>
      </w:pPr>
      <w:r>
        <w:separator/>
      </w:r>
    </w:p>
  </w:endnote>
  <w:endnote w:type="continuationSeparator" w:id="0">
    <w:p w14:paraId="54D5B6CB" w14:textId="77777777" w:rsidR="00672BA9" w:rsidRDefault="0067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4054"/>
      <w:gridCol w:w="1796"/>
      <w:gridCol w:w="4055"/>
    </w:tblGrid>
    <w:tr w:rsidR="00400793" w14:paraId="60DB84AE" w14:textId="77777777" w:rsidTr="001443DD">
      <w:trPr>
        <w:trHeight w:val="151"/>
      </w:trPr>
      <w:tc>
        <w:tcPr>
          <w:tcW w:w="2250" w:type="pct"/>
          <w:tcBorders>
            <w:top w:val="nil"/>
            <w:left w:val="nil"/>
            <w:bottom w:val="single" w:sz="4" w:space="0" w:color="5B9BD5" w:themeColor="accent1"/>
            <w:right w:val="nil"/>
          </w:tcBorders>
        </w:tcPr>
        <w:p w14:paraId="4AD6A944" w14:textId="77777777" w:rsidR="00400793" w:rsidRDefault="00400793">
          <w:pPr>
            <w:pStyle w:val="a5"/>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8286AF9" w14:textId="77777777" w:rsidR="00400793" w:rsidRDefault="00672BA9">
          <w:pPr>
            <w:pStyle w:val="aa"/>
            <w:spacing w:line="276" w:lineRule="auto"/>
            <w:rPr>
              <w:rFonts w:asciiTheme="majorHAnsi" w:hAnsiTheme="majorHAnsi"/>
              <w:color w:val="2E74B5" w:themeColor="accent1" w:themeShade="BF"/>
            </w:rPr>
          </w:pPr>
          <w:sdt>
            <w:sdtPr>
              <w:rPr>
                <w:rFonts w:ascii="Cambria" w:hAnsi="Cambria"/>
                <w:color w:val="2E74B5" w:themeColor="accent1" w:themeShade="BF"/>
              </w:rPr>
              <w:id w:val="179835412"/>
              <w:temporary/>
              <w:showingPlcHdr/>
            </w:sdtPr>
            <w:sdtEndPr/>
            <w:sdtContent>
              <w:r w:rsidR="00400793">
                <w:rPr>
                  <w:rFonts w:ascii="Cambria" w:hAnsi="Cambria"/>
                  <w:color w:val="2E74B5" w:themeColor="accent1" w:themeShade="BF"/>
                </w:rPr>
                <w:t>[Введите текст]</w:t>
              </w:r>
            </w:sdtContent>
          </w:sdt>
        </w:p>
      </w:tc>
      <w:tc>
        <w:tcPr>
          <w:tcW w:w="2250" w:type="pct"/>
          <w:tcBorders>
            <w:top w:val="nil"/>
            <w:left w:val="nil"/>
            <w:bottom w:val="single" w:sz="4" w:space="0" w:color="5B9BD5" w:themeColor="accent1"/>
            <w:right w:val="nil"/>
          </w:tcBorders>
        </w:tcPr>
        <w:p w14:paraId="319CA10F" w14:textId="77777777" w:rsidR="00400793" w:rsidRDefault="00400793">
          <w:pPr>
            <w:pStyle w:val="a5"/>
            <w:spacing w:line="276" w:lineRule="auto"/>
            <w:rPr>
              <w:rFonts w:asciiTheme="majorHAnsi" w:eastAsiaTheme="majorEastAsia" w:hAnsiTheme="majorHAnsi" w:cstheme="majorBidi"/>
              <w:b/>
              <w:bCs/>
              <w:color w:val="5B9BD5" w:themeColor="accent1"/>
            </w:rPr>
          </w:pPr>
        </w:p>
      </w:tc>
    </w:tr>
    <w:tr w:rsidR="00400793" w14:paraId="55AC1366" w14:textId="77777777" w:rsidTr="001443DD">
      <w:trPr>
        <w:trHeight w:val="150"/>
      </w:trPr>
      <w:tc>
        <w:tcPr>
          <w:tcW w:w="2250" w:type="pct"/>
          <w:tcBorders>
            <w:top w:val="single" w:sz="4" w:space="0" w:color="5B9BD5" w:themeColor="accent1"/>
            <w:left w:val="nil"/>
            <w:bottom w:val="nil"/>
            <w:right w:val="nil"/>
          </w:tcBorders>
        </w:tcPr>
        <w:p w14:paraId="607DE4F2" w14:textId="77777777" w:rsidR="00400793" w:rsidRDefault="00400793">
          <w:pPr>
            <w:pStyle w:val="a5"/>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58C4FAAB" w14:textId="77777777" w:rsidR="00400793" w:rsidRDefault="00400793">
          <w:pPr>
            <w:spacing w:after="0" w:line="240" w:lineRule="auto"/>
            <w:rPr>
              <w:rFonts w:asciiTheme="majorHAnsi" w:hAnsiTheme="majorHAnsi"/>
              <w:color w:val="2E74B5" w:themeColor="accent1" w:themeShade="BF"/>
            </w:rPr>
          </w:pPr>
        </w:p>
      </w:tc>
      <w:tc>
        <w:tcPr>
          <w:tcW w:w="2250" w:type="pct"/>
          <w:tcBorders>
            <w:top w:val="single" w:sz="4" w:space="0" w:color="5B9BD5" w:themeColor="accent1"/>
            <w:left w:val="nil"/>
            <w:bottom w:val="nil"/>
            <w:right w:val="nil"/>
          </w:tcBorders>
        </w:tcPr>
        <w:p w14:paraId="17D15B66" w14:textId="77777777" w:rsidR="00400793" w:rsidRDefault="00400793">
          <w:pPr>
            <w:pStyle w:val="a5"/>
            <w:spacing w:line="276" w:lineRule="auto"/>
            <w:rPr>
              <w:rFonts w:asciiTheme="majorHAnsi" w:eastAsiaTheme="majorEastAsia" w:hAnsiTheme="majorHAnsi" w:cstheme="majorBidi"/>
              <w:b/>
              <w:bCs/>
              <w:color w:val="5B9BD5" w:themeColor="accent1"/>
            </w:rPr>
          </w:pPr>
        </w:p>
      </w:tc>
    </w:tr>
  </w:tbl>
  <w:p w14:paraId="2C519A8D" w14:textId="77777777" w:rsidR="00400793" w:rsidRDefault="004007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664"/>
    </w:tblGrid>
    <w:tr w:rsidR="00680FC1" w:rsidRPr="00447B45" w14:paraId="6B8CBC0A" w14:textId="77777777" w:rsidTr="00AD73F3">
      <w:trPr>
        <w:trHeight w:val="878"/>
      </w:trPr>
      <w:tc>
        <w:tcPr>
          <w:tcW w:w="4926" w:type="dxa"/>
          <w:shd w:val="clear" w:color="auto" w:fill="FFFFFF" w:themeFill="background1"/>
        </w:tcPr>
        <w:p w14:paraId="50A54256" w14:textId="77777777" w:rsidR="0054332C" w:rsidRPr="00447B45" w:rsidRDefault="0054332C" w:rsidP="0054332C">
          <w:pPr>
            <w:pStyle w:val="a5"/>
            <w:rPr>
              <w:color w:val="7F7F7F" w:themeColor="text1" w:themeTint="80"/>
            </w:rPr>
          </w:pPr>
          <w:r w:rsidRPr="00447B45">
            <w:rPr>
              <w:color w:val="7F7F7F" w:themeColor="text1" w:themeTint="80"/>
            </w:rPr>
            <w:t>Москва</w:t>
          </w:r>
        </w:p>
        <w:p w14:paraId="6EEECE8F" w14:textId="77777777" w:rsidR="0054332C" w:rsidRPr="00447B45" w:rsidRDefault="0054332C" w:rsidP="0054332C">
          <w:pPr>
            <w:pStyle w:val="a5"/>
            <w:rPr>
              <w:color w:val="7F7F7F" w:themeColor="text1" w:themeTint="80"/>
              <w:lang w:val="en-US"/>
            </w:rPr>
          </w:pPr>
          <w:proofErr w:type="spellStart"/>
          <w:r>
            <w:rPr>
              <w:color w:val="7F7F7F" w:themeColor="text1" w:themeTint="80"/>
              <w:lang w:val="en-US"/>
            </w:rPr>
            <w:t>msk@bankrotstvo</w:t>
          </w:r>
          <w:proofErr w:type="spellEnd"/>
          <w:r>
            <w:rPr>
              <w:color w:val="7F7F7F" w:themeColor="text1" w:themeTint="80"/>
            </w:rPr>
            <w:t>-</w:t>
          </w:r>
          <w:r w:rsidRPr="00447B45">
            <w:rPr>
              <w:color w:val="7F7F7F" w:themeColor="text1" w:themeTint="80"/>
              <w:lang w:val="en-US"/>
            </w:rPr>
            <w:t>476.ru</w:t>
          </w:r>
        </w:p>
        <w:p w14:paraId="3C784613" w14:textId="20FDFA2F" w:rsidR="00400793" w:rsidRPr="0054332C" w:rsidRDefault="0054332C" w:rsidP="0054332C">
          <w:pPr>
            <w:pStyle w:val="a5"/>
            <w:rPr>
              <w:color w:val="7F7F7F" w:themeColor="text1" w:themeTint="80"/>
            </w:rPr>
          </w:pPr>
          <w:r w:rsidRPr="00447B45">
            <w:rPr>
              <w:color w:val="7F7F7F" w:themeColor="text1" w:themeTint="80"/>
              <w:lang w:val="en-US"/>
            </w:rPr>
            <w:t xml:space="preserve">+7 </w:t>
          </w:r>
          <w:r w:rsidRPr="009E3AB1">
            <w:rPr>
              <w:color w:val="7F7F7F" w:themeColor="text1" w:themeTint="80"/>
              <w:lang w:val="en-US"/>
            </w:rPr>
            <w:t>(49</w:t>
          </w:r>
          <w:r>
            <w:rPr>
              <w:color w:val="7F7F7F" w:themeColor="text1" w:themeTint="80"/>
            </w:rPr>
            <w:t>5</w:t>
          </w:r>
          <w:r w:rsidRPr="009E3AB1">
            <w:rPr>
              <w:color w:val="7F7F7F" w:themeColor="text1" w:themeTint="80"/>
              <w:lang w:val="en-US"/>
            </w:rPr>
            <w:t xml:space="preserve">) </w:t>
          </w:r>
          <w:r w:rsidR="00080513">
            <w:rPr>
              <w:color w:val="7F7F7F" w:themeColor="text1" w:themeTint="80"/>
            </w:rPr>
            <w:t>120-43-55</w:t>
          </w:r>
        </w:p>
      </w:tc>
      <w:tc>
        <w:tcPr>
          <w:tcW w:w="4664" w:type="dxa"/>
          <w:shd w:val="clear" w:color="auto" w:fill="FFFFFF" w:themeFill="background1"/>
        </w:tcPr>
        <w:p w14:paraId="03CB83A2" w14:textId="060388D7" w:rsidR="00400793" w:rsidRPr="00447B45" w:rsidRDefault="00400793" w:rsidP="00926191">
          <w:pPr>
            <w:pStyle w:val="a5"/>
            <w:rPr>
              <w:color w:val="7F7F7F" w:themeColor="text1" w:themeTint="80"/>
            </w:rPr>
          </w:pPr>
        </w:p>
      </w:tc>
    </w:tr>
  </w:tbl>
  <w:p w14:paraId="41AA9341" w14:textId="637351F1" w:rsidR="009643D7" w:rsidRPr="00447B45" w:rsidRDefault="009643D7" w:rsidP="00400793">
    <w:pPr>
      <w:pStyle w:val="a7"/>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5CB2C" w14:textId="77777777" w:rsidR="00672BA9" w:rsidRDefault="00672BA9">
      <w:pPr>
        <w:spacing w:after="0" w:line="240" w:lineRule="auto"/>
      </w:pPr>
      <w:r>
        <w:separator/>
      </w:r>
    </w:p>
  </w:footnote>
  <w:footnote w:type="continuationSeparator" w:id="0">
    <w:p w14:paraId="649B8D62" w14:textId="77777777" w:rsidR="00672BA9" w:rsidRDefault="0067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BC1E" w14:textId="77777777" w:rsidR="009643D7" w:rsidRDefault="00672BA9">
    <w:pPr>
      <w:pStyle w:val="a5"/>
    </w:pPr>
    <w:sdt>
      <w:sdtPr>
        <w:id w:val="171999623"/>
        <w:placeholder>
          <w:docPart w:val="4689B1F0FBFE02488AEF527F5AB08AAD"/>
        </w:placeholder>
        <w:temporary/>
        <w:showingPlcHdr/>
      </w:sdtPr>
      <w:sdtEndPr/>
      <w:sdtContent>
        <w:r w:rsidR="009643D7">
          <w:t>[Введите текст]</w:t>
        </w:r>
      </w:sdtContent>
    </w:sdt>
    <w:r w:rsidR="009643D7">
      <w:ptab w:relativeTo="margin" w:alignment="center" w:leader="none"/>
    </w:r>
    <w:sdt>
      <w:sdtPr>
        <w:id w:val="171999624"/>
        <w:placeholder>
          <w:docPart w:val="F0B90463AF1DDB4991E41828D9B0A344"/>
        </w:placeholder>
        <w:temporary/>
        <w:showingPlcHdr/>
      </w:sdtPr>
      <w:sdtEndPr/>
      <w:sdtContent>
        <w:r w:rsidR="009643D7">
          <w:t>[Введите текст]</w:t>
        </w:r>
      </w:sdtContent>
    </w:sdt>
    <w:r w:rsidR="009643D7">
      <w:ptab w:relativeTo="margin" w:alignment="right" w:leader="none"/>
    </w:r>
    <w:sdt>
      <w:sdtPr>
        <w:id w:val="171999625"/>
        <w:placeholder>
          <w:docPart w:val="BAFBA0966063334C92C113FC5264903D"/>
        </w:placeholder>
        <w:temporary/>
        <w:showingPlcHdr/>
      </w:sdtPr>
      <w:sdtEndPr/>
      <w:sdtContent>
        <w:r w:rsidR="009643D7">
          <w:t>[Введите текст]</w:t>
        </w:r>
      </w:sdtContent>
    </w:sdt>
  </w:p>
  <w:p w14:paraId="6653DCE6" w14:textId="77777777" w:rsidR="009643D7" w:rsidRDefault="009643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237BAF" w14:paraId="327D3335" w14:textId="379BAC56" w:rsidTr="009F61B1">
      <w:trPr>
        <w:trHeight w:val="1276"/>
      </w:trPr>
      <w:tc>
        <w:tcPr>
          <w:tcW w:w="6947" w:type="dxa"/>
        </w:tcPr>
        <w:p w14:paraId="0A721F9E" w14:textId="77777777" w:rsidR="00400793" w:rsidRDefault="00400793" w:rsidP="2BF45679">
          <w:pPr>
            <w:pStyle w:val="a5"/>
          </w:pPr>
          <w:r>
            <w:rPr>
              <w:noProof/>
            </w:rPr>
            <w:drawing>
              <wp:inline distT="0" distB="0" distL="0" distR="0" wp14:anchorId="5B629560" wp14:editId="5191CD1A">
                <wp:extent cx="2134235" cy="767708"/>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43514" cy="771046"/>
                        </a:xfrm>
                        <a:prstGeom prst="rect">
                          <a:avLst/>
                        </a:prstGeom>
                      </pic:spPr>
                    </pic:pic>
                  </a:graphicData>
                </a:graphic>
              </wp:inline>
            </w:drawing>
          </w:r>
        </w:p>
        <w:p w14:paraId="71975130" w14:textId="5EA0E55A" w:rsidR="00400793" w:rsidRDefault="00400793" w:rsidP="2BF45679">
          <w:pPr>
            <w:pStyle w:val="a5"/>
          </w:pPr>
        </w:p>
      </w:tc>
      <w:tc>
        <w:tcPr>
          <w:tcW w:w="3118" w:type="dxa"/>
        </w:tcPr>
        <w:p w14:paraId="5D40685E" w14:textId="77777777" w:rsidR="00680FC1" w:rsidRPr="000E3EDA" w:rsidRDefault="00680FC1" w:rsidP="00AD73F3">
          <w:pPr>
            <w:pStyle w:val="a5"/>
            <w:rPr>
              <w:color w:val="000000" w:themeColor="text1"/>
            </w:rPr>
          </w:pPr>
          <w:r w:rsidRPr="000E3EDA">
            <w:rPr>
              <w:color w:val="000000" w:themeColor="text1"/>
            </w:rPr>
            <w:t>Информация и необходимые</w:t>
          </w:r>
        </w:p>
        <w:p w14:paraId="0AF0CFD1" w14:textId="32215B11" w:rsidR="00680FC1" w:rsidRPr="000E3EDA" w:rsidRDefault="00680FC1" w:rsidP="00AD73F3">
          <w:pPr>
            <w:pStyle w:val="a5"/>
            <w:rPr>
              <w:color w:val="000000" w:themeColor="text1"/>
            </w:rPr>
          </w:pPr>
          <w:r w:rsidRPr="000E3EDA">
            <w:rPr>
              <w:color w:val="000000" w:themeColor="text1"/>
            </w:rPr>
            <w:t>документы о банкротстве</w:t>
          </w:r>
        </w:p>
        <w:p w14:paraId="7F513279" w14:textId="1914F88B" w:rsidR="00680FC1" w:rsidRPr="000E3EDA" w:rsidRDefault="00680FC1" w:rsidP="00AD73F3">
          <w:pPr>
            <w:pStyle w:val="a5"/>
            <w:rPr>
              <w:color w:val="000000" w:themeColor="text1"/>
            </w:rPr>
          </w:pPr>
          <w:r w:rsidRPr="000E3EDA">
            <w:rPr>
              <w:color w:val="000000" w:themeColor="text1"/>
            </w:rPr>
            <w:t>физлиц на сайте</w:t>
          </w:r>
        </w:p>
        <w:p w14:paraId="6A2F3868" w14:textId="4D93364F" w:rsidR="00400793" w:rsidRDefault="00680FC1" w:rsidP="00AD73F3">
          <w:pPr>
            <w:pStyle w:val="a5"/>
          </w:pPr>
          <w:r w:rsidRPr="000E3EDA">
            <w:rPr>
              <w:color w:val="000000" w:themeColor="text1"/>
            </w:rPr>
            <w:t>www.bankrotstvo-476.ru</w:t>
          </w:r>
        </w:p>
      </w:tc>
    </w:tr>
  </w:tbl>
  <w:p w14:paraId="5BA32185" w14:textId="690A4111" w:rsidR="009643D7" w:rsidRDefault="009643D7" w:rsidP="2BF456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B3182"/>
    <w:multiLevelType w:val="multilevel"/>
    <w:tmpl w:val="FAC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A068F"/>
    <w:multiLevelType w:val="hybridMultilevel"/>
    <w:tmpl w:val="64CAEDB8"/>
    <w:lvl w:ilvl="0" w:tplc="4EBE2E44">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597"/>
    <w:rsid w:val="00080513"/>
    <w:rsid w:val="000D3EA8"/>
    <w:rsid w:val="000E3EDA"/>
    <w:rsid w:val="00237BAF"/>
    <w:rsid w:val="002E4DBA"/>
    <w:rsid w:val="00363FCA"/>
    <w:rsid w:val="00400793"/>
    <w:rsid w:val="00447B45"/>
    <w:rsid w:val="00462CA4"/>
    <w:rsid w:val="005203C4"/>
    <w:rsid w:val="0054332C"/>
    <w:rsid w:val="00614DF3"/>
    <w:rsid w:val="00672BA9"/>
    <w:rsid w:val="00680FC1"/>
    <w:rsid w:val="00790F4F"/>
    <w:rsid w:val="008019E5"/>
    <w:rsid w:val="00830FCB"/>
    <w:rsid w:val="009643D7"/>
    <w:rsid w:val="0097298E"/>
    <w:rsid w:val="009E3AB1"/>
    <w:rsid w:val="009F61B1"/>
    <w:rsid w:val="00A3504A"/>
    <w:rsid w:val="00A47E9B"/>
    <w:rsid w:val="00AB05AF"/>
    <w:rsid w:val="00AD0597"/>
    <w:rsid w:val="00AD73F3"/>
    <w:rsid w:val="00AE0BF7"/>
    <w:rsid w:val="00CD0275"/>
    <w:rsid w:val="2BF45679"/>
    <w:rsid w:val="4D1E3C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558B3"/>
  <w14:defaultImageDpi w14:val="0"/>
  <w15:docId w15:val="{CC813DE8-2C68-4D90-8FD1-6DD3754D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7298E"/>
    <w:pPr>
      <w:keepNext/>
      <w:spacing w:after="0" w:line="240" w:lineRule="auto"/>
      <w:ind w:left="5580"/>
      <w:outlineLvl w:val="0"/>
    </w:pPr>
    <w:rPr>
      <w:rFonts w:ascii="Times New Roman" w:eastAsia="Times New Roman" w:hAnsi="Times New Roman"/>
      <w:b/>
      <w:bCs/>
      <w:sz w:val="24"/>
      <w:szCs w:val="24"/>
    </w:rPr>
  </w:style>
  <w:style w:type="paragraph" w:styleId="2">
    <w:name w:val="heading 2"/>
    <w:basedOn w:val="a"/>
    <w:next w:val="a"/>
    <w:link w:val="20"/>
    <w:qFormat/>
    <w:rsid w:val="0097298E"/>
    <w:pPr>
      <w:keepNext/>
      <w:spacing w:after="0" w:line="240" w:lineRule="auto"/>
      <w:jc w:val="center"/>
      <w:outlineLvl w:val="1"/>
    </w:pPr>
    <w:rPr>
      <w:rFonts w:ascii="Times New Roman" w:eastAsia="Times New Roman" w:hAnsi="Times New Roman"/>
      <w:b/>
      <w:bCs/>
      <w:sz w:val="24"/>
      <w:szCs w:val="24"/>
    </w:rPr>
  </w:style>
  <w:style w:type="paragraph" w:styleId="3">
    <w:name w:val="heading 3"/>
    <w:basedOn w:val="a"/>
    <w:next w:val="a"/>
    <w:link w:val="30"/>
    <w:qFormat/>
    <w:rsid w:val="0097298E"/>
    <w:pPr>
      <w:keepNext/>
      <w:spacing w:after="0" w:line="240" w:lineRule="auto"/>
      <w:jc w:val="both"/>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paragraph" w:styleId="a8">
    <w:name w:val="Balloon Text"/>
    <w:basedOn w:val="a"/>
    <w:link w:val="a9"/>
    <w:uiPriority w:val="99"/>
    <w:semiHidden/>
    <w:unhideWhenUsed/>
    <w:rsid w:val="009643D7"/>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9643D7"/>
    <w:rPr>
      <w:rFonts w:ascii="Lucida Grande CY" w:hAnsi="Lucida Grande CY" w:cs="Lucida Grande CY"/>
      <w:sz w:val="18"/>
      <w:szCs w:val="18"/>
    </w:rPr>
  </w:style>
  <w:style w:type="paragraph" w:styleId="aa">
    <w:name w:val="No Spacing"/>
    <w:link w:val="ab"/>
    <w:qFormat/>
    <w:rsid w:val="009643D7"/>
    <w:pPr>
      <w:spacing w:after="0" w:line="240" w:lineRule="auto"/>
    </w:pPr>
    <w:rPr>
      <w:rFonts w:ascii="PMingLiU" w:hAnsi="PMingLiU" w:cstheme="minorBidi"/>
    </w:rPr>
  </w:style>
  <w:style w:type="character" w:customStyle="1" w:styleId="ab">
    <w:name w:val="Без интервала Знак"/>
    <w:basedOn w:val="a0"/>
    <w:link w:val="aa"/>
    <w:rsid w:val="009643D7"/>
    <w:rPr>
      <w:rFonts w:ascii="PMingLiU" w:hAnsi="PMingLiU" w:cstheme="minorBidi"/>
    </w:rPr>
  </w:style>
  <w:style w:type="character" w:styleId="ac">
    <w:name w:val="Hyperlink"/>
    <w:basedOn w:val="a0"/>
    <w:uiPriority w:val="99"/>
    <w:unhideWhenUsed/>
    <w:rsid w:val="009643D7"/>
    <w:rPr>
      <w:color w:val="0563C1" w:themeColor="hyperlink"/>
      <w:u w:val="single"/>
    </w:rPr>
  </w:style>
  <w:style w:type="character" w:styleId="ad">
    <w:name w:val="FollowedHyperlink"/>
    <w:basedOn w:val="a0"/>
    <w:uiPriority w:val="99"/>
    <w:semiHidden/>
    <w:unhideWhenUsed/>
    <w:rsid w:val="009643D7"/>
    <w:rPr>
      <w:color w:val="954F72" w:themeColor="followedHyperlink"/>
      <w:u w:val="single"/>
    </w:rPr>
  </w:style>
  <w:style w:type="table" w:styleId="-1">
    <w:name w:val="Light Shading Accent 1"/>
    <w:basedOn w:val="a1"/>
    <w:uiPriority w:val="60"/>
    <w:rsid w:val="00680FC1"/>
    <w:pPr>
      <w:spacing w:after="0" w:line="240" w:lineRule="auto"/>
    </w:pPr>
    <w:rPr>
      <w:rFonts w:cstheme="minorBid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0">
    <w:name w:val="Заголовок 1 Знак"/>
    <w:basedOn w:val="a0"/>
    <w:link w:val="1"/>
    <w:rsid w:val="0097298E"/>
    <w:rPr>
      <w:rFonts w:ascii="Times New Roman" w:eastAsia="Times New Roman" w:hAnsi="Times New Roman"/>
      <w:b/>
      <w:bCs/>
      <w:sz w:val="24"/>
      <w:szCs w:val="24"/>
    </w:rPr>
  </w:style>
  <w:style w:type="character" w:customStyle="1" w:styleId="20">
    <w:name w:val="Заголовок 2 Знак"/>
    <w:basedOn w:val="a0"/>
    <w:link w:val="2"/>
    <w:rsid w:val="0097298E"/>
    <w:rPr>
      <w:rFonts w:ascii="Times New Roman" w:eastAsia="Times New Roman" w:hAnsi="Times New Roman"/>
      <w:b/>
      <w:bCs/>
      <w:sz w:val="24"/>
      <w:szCs w:val="24"/>
    </w:rPr>
  </w:style>
  <w:style w:type="character" w:customStyle="1" w:styleId="30">
    <w:name w:val="Заголовок 3 Знак"/>
    <w:basedOn w:val="a0"/>
    <w:link w:val="3"/>
    <w:rsid w:val="0097298E"/>
    <w:rPr>
      <w:rFonts w:ascii="Times New Roman" w:eastAsia="Times New Roman" w:hAnsi="Times New Roman"/>
      <w:b/>
      <w:bCs/>
      <w:sz w:val="24"/>
      <w:szCs w:val="24"/>
    </w:rPr>
  </w:style>
  <w:style w:type="paragraph" w:customStyle="1" w:styleId="ConsPlusNormal">
    <w:name w:val="ConsPlusNormal"/>
    <w:uiPriority w:val="99"/>
    <w:rsid w:val="0097298E"/>
    <w:pPr>
      <w:widowControl w:val="0"/>
      <w:autoSpaceDE w:val="0"/>
      <w:autoSpaceDN w:val="0"/>
      <w:spacing w:after="0" w:line="240" w:lineRule="auto"/>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8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89B1F0FBFE02488AEF527F5AB08AAD"/>
        <w:category>
          <w:name w:val="Общие"/>
          <w:gallery w:val="placeholder"/>
        </w:category>
        <w:types>
          <w:type w:val="bbPlcHdr"/>
        </w:types>
        <w:behaviors>
          <w:behavior w:val="content"/>
        </w:behaviors>
        <w:guid w:val="{9F5AD2C3-83D1-AF4A-829B-8AFE4EF628C0}"/>
      </w:docPartPr>
      <w:docPartBody>
        <w:p w:rsidR="0089593E" w:rsidRDefault="0089593E" w:rsidP="0089593E">
          <w:pPr>
            <w:pStyle w:val="4689B1F0FBFE02488AEF527F5AB08AAD"/>
          </w:pPr>
          <w:r>
            <w:t>[Введите текст]</w:t>
          </w:r>
        </w:p>
      </w:docPartBody>
    </w:docPart>
    <w:docPart>
      <w:docPartPr>
        <w:name w:val="F0B90463AF1DDB4991E41828D9B0A344"/>
        <w:category>
          <w:name w:val="Общие"/>
          <w:gallery w:val="placeholder"/>
        </w:category>
        <w:types>
          <w:type w:val="bbPlcHdr"/>
        </w:types>
        <w:behaviors>
          <w:behavior w:val="content"/>
        </w:behaviors>
        <w:guid w:val="{EE42F647-896B-2E46-B429-C7DF870BDCEC}"/>
      </w:docPartPr>
      <w:docPartBody>
        <w:p w:rsidR="0089593E" w:rsidRDefault="0089593E" w:rsidP="0089593E">
          <w:pPr>
            <w:pStyle w:val="F0B90463AF1DDB4991E41828D9B0A344"/>
          </w:pPr>
          <w:r>
            <w:t>[Введите текст]</w:t>
          </w:r>
        </w:p>
      </w:docPartBody>
    </w:docPart>
    <w:docPart>
      <w:docPartPr>
        <w:name w:val="BAFBA0966063334C92C113FC5264903D"/>
        <w:category>
          <w:name w:val="Общие"/>
          <w:gallery w:val="placeholder"/>
        </w:category>
        <w:types>
          <w:type w:val="bbPlcHdr"/>
        </w:types>
        <w:behaviors>
          <w:behavior w:val="content"/>
        </w:behaviors>
        <w:guid w:val="{849B5564-31FC-3647-A42C-4BE9B253E121}"/>
      </w:docPartPr>
      <w:docPartBody>
        <w:p w:rsidR="0089593E" w:rsidRDefault="0089593E" w:rsidP="0089593E">
          <w:pPr>
            <w:pStyle w:val="BAFBA0966063334C92C113FC5264903D"/>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93E"/>
    <w:rsid w:val="00061968"/>
    <w:rsid w:val="000C5FA0"/>
    <w:rsid w:val="006662BF"/>
    <w:rsid w:val="0089593E"/>
    <w:rsid w:val="00CD4C5C"/>
    <w:rsid w:val="00D214B5"/>
    <w:rsid w:val="00F72D43"/>
    <w:rsid w:val="00F823F9"/>
    <w:rsid w:val="00FA14C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89B1F0FBFE02488AEF527F5AB08AAD">
    <w:name w:val="4689B1F0FBFE02488AEF527F5AB08AAD"/>
    <w:rsid w:val="0089593E"/>
  </w:style>
  <w:style w:type="paragraph" w:customStyle="1" w:styleId="F0B90463AF1DDB4991E41828D9B0A344">
    <w:name w:val="F0B90463AF1DDB4991E41828D9B0A344"/>
    <w:rsid w:val="0089593E"/>
  </w:style>
  <w:style w:type="paragraph" w:customStyle="1" w:styleId="BAFBA0966063334C92C113FC5264903D">
    <w:name w:val="BAFBA0966063334C92C113FC5264903D"/>
    <w:rsid w:val="0089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2194-DAFB-46C2-AAA2-CE61C13F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506</Words>
  <Characters>2890</Characters>
  <Application>Microsoft Office Word</Application>
  <DocSecurity>0</DocSecurity>
  <Lines>24</Lines>
  <Paragraphs>6</Paragraphs>
  <ScaleCrop>false</ScaleCrop>
  <Company>Национальный Центр Банкротств;</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Национальный Центр Банкротств</dc:creator>
  <cp:keywords>Банкротство физических лиц, банкротство физ лиц, банкротство физлиц, банкротство граждан</cp:keywords>
  <dc:description>https://bankrotstvo-476.ru/</dc:description>
  <cp:lastModifiedBy>Владислав Самарин</cp:lastModifiedBy>
  <cp:revision>12</cp:revision>
  <dcterms:created xsi:type="dcterms:W3CDTF">2016-02-15T10:00:00Z</dcterms:created>
  <dcterms:modified xsi:type="dcterms:W3CDTF">2020-12-07T17:39:00Z</dcterms:modified>
</cp:coreProperties>
</file>