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Autospacing="0" w:before="240" w:afterAutospacing="0" w:after="240"/>
        <w:ind w:start="4111"/>
        <w:rPr>
          <w:sz w:val="20"/>
          <w:szCs w:val="20"/>
        </w:rPr>
      </w:pPr>
      <w:bookmarkStart w:id="0" w:name="docs-internal-guid-7806c0e5-7fff-f0f6-3b"/>
      <w:bookmarkEnd w:id="0"/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В Арбитражный суд города Москвы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115191, г. Москва, ул. Большая Тульская, д. 17</w:t>
      </w:r>
    </w:p>
    <w:p>
      <w:pPr>
        <w:pStyle w:val="BodyText"/>
        <w:bidi w:val="0"/>
        <w:spacing w:lineRule="auto" w:line="430" w:before="0" w:after="0"/>
        <w:ind w:hanging="0" w:start="0" w:end="0"/>
        <w:rPr>
          <w:rFonts w:ascii="Times New Roman" w:hAnsi="Times New Roman" w:eastAsia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Times New Roman" w:ascii="Times New Roman" w:hAnsi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Дело № А40-000000/___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Обособленный спор</w:t>
      </w:r>
    </w:p>
    <w:p>
      <w:pPr>
        <w:pStyle w:val="BodyText"/>
        <w:bidi w:val="0"/>
        <w:spacing w:lineRule="auto" w:line="430" w:before="0" w:after="0"/>
        <w:ind w:hanging="0" w:start="0" w:end="0"/>
        <w:rPr>
          <w:rFonts w:ascii="Times New Roman" w:hAnsi="Times New Roman" w:eastAsia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Times New Roman" w:ascii="Times New Roman" w:hAnsi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Заявитель: финансовый управляющий 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либо конкурсный кредитор ООО «__________»</w:t>
      </w:r>
    </w:p>
    <w:p>
      <w:pPr>
        <w:pStyle w:val="BodyText"/>
        <w:bidi w:val="0"/>
        <w:spacing w:lineRule="auto" w:line="430" w:before="0" w:after="0"/>
        <w:ind w:hanging="0" w:start="0" w:end="0"/>
        <w:rPr>
          <w:rFonts w:ascii="Times New Roman" w:hAnsi="Times New Roman" w:eastAsia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Times New Roman" w:ascii="Times New Roman" w:hAnsi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Ответчик (должник): 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Адрес: _______________________________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rPr>
          <w:rFonts w:ascii="Times New Roman" w:hAnsi="Times New Roman" w:eastAsia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Times New Roman" w:ascii="Times New Roman" w:hAnsi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Третье лицо: 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(одаряемая по оспариваемому договору)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Times New Roman" w:hAnsi="Times New Roman" w:eastAsia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Times New Roman" w:ascii="Times New Roman" w:hAnsi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331" w:before="600" w:after="400"/>
        <w:ind w:hanging="0" w:start="0" w:end="0"/>
        <w:jc w:val="center"/>
        <w:rPr>
          <w:rFonts w:ascii="Arial;sans-serif" w:hAnsi="Arial;sans-serif" w:eastAsia="Times New Roman"/>
          <w:b/>
          <w:i w:val="false"/>
          <w:iCs/>
          <w:caps w:val="false"/>
          <w:smallCaps w:val="false"/>
          <w:strike w:val="false"/>
          <w:dstrike w:val="false"/>
          <w:color w:val="000000"/>
          <w:sz w:val="28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/>
          <w:i w:val="false"/>
          <w:iCs/>
          <w:caps w:val="false"/>
          <w:smallCaps w:val="false"/>
          <w:strike w:val="false"/>
          <w:dstrike w:val="false"/>
          <w:color w:val="000000"/>
          <w:sz w:val="28"/>
          <w:szCs w:val="20"/>
          <w:u w:val="none"/>
          <w:effect w:val="none"/>
          <w:shd w:fill="auto" w:val="clear"/>
        </w:rPr>
        <w:t>ВОЗРАЖЕНИЯ (ОТЗЫВ)</w:t>
      </w:r>
    </w:p>
    <w:p>
      <w:pPr>
        <w:pStyle w:val="BodyText"/>
        <w:bidi w:val="0"/>
        <w:spacing w:lineRule="auto" w:line="331" w:before="0" w:after="500"/>
        <w:ind w:hanging="0" w:start="0" w:end="0"/>
        <w:jc w:val="center"/>
        <w:rPr>
          <w:rFonts w:ascii="Arial;sans-serif" w:hAnsi="Arial;sans-serif" w:eastAsia="Times New Roman"/>
          <w:b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0"/>
          <w:u w:val="none"/>
          <w:effect w:val="none"/>
          <w:shd w:fill="auto" w:val="clear"/>
        </w:rPr>
        <w:t>на заявление о признании сделки недействительной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В рамках дела о банкротстве _______  (далее — Должник) финансовым управляющим (кредитором) подано заявление о признании недействительным договора дарения квартиры, расположенной по адресу: г. Москва, ул. __________, д. __, кв. __ (далее — Квартира), заключённого 00.00.____ между Должником и ________ (далее — Договор дарения), и применении последствий недействительности сделки в виде возврата Квартиры в конкурсную массу.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С заявленными требованиями Должник не согласен по следующим основаниям.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1. Сделка совершена за пределами периода подозрительности, установленного пунктом 1 статьи 61.2 Федерального закона от 26.10.2002 № 127-ФЗ «О несостоятельности (банкротстве)». Договор дарения заключен 00.00.____, тогда как заявление о признании Должника банкротом принято к производству арбитражного суда 00.00.____, то есть сделка совершена более чем за три года до возбуждения дела о банкротстве. В указанный период Должник не отвечал признакам неплатежеспособности или недостаточности имущества: просрочки по обязательствам перед кредиторами возникли не ранее 00.00.____, что подтверждается графиками платежей и выписками по счетам.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2. Правовая позиция о невозможности оспаривания сделок, совершенных за пределами трехлетнего периода подозрительности, последовательно подтверждается судебной практикой по аналогичным спорам (в частности, постановлением суда кассационной инстанции по делу № _____________).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3. На момент совершения Договора дарения у Должника отсутствовали неисполненные обязательства перед кредиторами, требования которых впоследствии включены в реестр. Заявителем не представлено доказательств того, что на дату сделки Должник знал или должен был знать о возникновении в будущем признаков неплатежеспособности.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4. Спорная Квартира не является предметом роскоши и не может рассматриваться как актив, вывод которого свидетельствует о недобросовестности Должника: её площадь и стоимость сопоставимы со средними показателями по региону, что подтверждается отчетом об оценке.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5. Отсутствуют признаки заинтересованности сторон сделки в смысле статьи 19 Закона о банкротстве, направленной на причинение вреда имущественным правам кредиторов: одаряемая проживает отдельно от Должника, финансовые операции сторон являются самостоятельными.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С учетом изложенного, основания для признания Договора дарения недействительным по пункту 1 либо пункту 2 статьи 61.2 Закона о банкротстве, а также по статьям 10, 168 Гражданского кодекса Российской Федерации, отсутствуют.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На основании изложенного, руководствуясь статьями 61.2, 61.8 Федерального закона от 26.10.2002 № 127-ФЗ «О несостоятельности (банкротстве)», статьями 41, 131 Арбитражного процессуального кодекса Российской Федерации,</w:t>
      </w:r>
    </w:p>
    <w:p>
      <w:pPr>
        <w:pStyle w:val="BodyText"/>
        <w:spacing w:lineRule="auto" w:line="240" w:before="240" w:after="240"/>
        <w:rPr>
          <w:rFonts w:ascii="Times New Roman" w:hAnsi="Times New Roman" w:eastAsia="Times New Roman"/>
          <w:i/>
          <w:iCs/>
          <w:color w:val="000000"/>
          <w:sz w:val="20"/>
          <w:szCs w:val="20"/>
        </w:rPr>
      </w:pPr>
      <w:r>
        <w:rPr>
          <w:rFonts w:eastAsia="Times New Roman" w:ascii="Times New Roman" w:hAnsi="Times New Roman"/>
          <w:i/>
          <w:iCs/>
          <w:color w:val="000000"/>
          <w:sz w:val="20"/>
          <w:szCs w:val="20"/>
        </w:rPr>
      </w:r>
    </w:p>
    <w:p>
      <w:pPr>
        <w:pStyle w:val="BodyText"/>
        <w:bidi w:val="0"/>
        <w:spacing w:lineRule="auto" w:line="331" w:before="300" w:after="300"/>
        <w:ind w:hanging="0" w:start="0" w:end="0"/>
        <w:jc w:val="center"/>
        <w:rPr>
          <w:rFonts w:ascii="Arial;sans-serif" w:hAnsi="Arial;sans-serif" w:eastAsia="Times New Roman"/>
          <w:b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ПРОШУ: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1. Отказать в удовлетворении заявления о признании недействительным договора дарения квартиры от 00.00.____, заключённого между ______ и ________, в полном объёме.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2. Приобщить к материалам обособленного спора прилагаемые документы.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Times New Roman" w:hAnsi="Times New Roman" w:eastAsia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Times New Roman" w:ascii="Times New Roman" w:hAnsi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Times New Roman" w:hAnsi="Times New Roman" w:eastAsia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Times New Roman" w:ascii="Times New Roman" w:hAnsi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Times New Roman" w:hAnsi="Times New Roman" w:eastAsia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Times New Roman" w:ascii="Times New Roman" w:hAnsi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331" w:before="300" w:after="200"/>
        <w:ind w:hanging="0" w:start="0" w:end="0"/>
        <w:rPr>
          <w:rFonts w:ascii="Arial;sans-serif" w:hAnsi="Arial;sans-serif" w:eastAsia="Times New Roman"/>
          <w:b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Приложения:</w:t>
      </w:r>
    </w:p>
    <w:p>
      <w:pPr>
        <w:pStyle w:val="BodyText"/>
        <w:bidi w:val="0"/>
        <w:spacing w:lineRule="auto" w:line="430" w:before="0" w:after="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1. Копия договора дарения от 00.00.____;</w:t>
      </w:r>
    </w:p>
    <w:p>
      <w:pPr>
        <w:pStyle w:val="BodyText"/>
        <w:bidi w:val="0"/>
        <w:spacing w:lineRule="auto" w:line="430" w:before="0" w:after="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2. Выписки по банковским счетам Должника за период, предшествующий сделке;</w:t>
      </w:r>
    </w:p>
    <w:p>
      <w:pPr>
        <w:pStyle w:val="BodyText"/>
        <w:bidi w:val="0"/>
        <w:spacing w:lineRule="auto" w:line="430" w:before="0" w:after="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3. Графики платежей по кредитным обязательствам с указанием дат просрочек;</w:t>
      </w:r>
    </w:p>
    <w:p>
      <w:pPr>
        <w:pStyle w:val="BodyText"/>
        <w:bidi w:val="0"/>
        <w:spacing w:lineRule="auto" w:line="430" w:before="0" w:after="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4. Отчет об оценке рыночной стоимости квартиры;</w:t>
      </w:r>
    </w:p>
    <w:p>
      <w:pPr>
        <w:pStyle w:val="BodyText"/>
        <w:bidi w:val="0"/>
        <w:spacing w:lineRule="auto" w:line="430" w:before="0" w:after="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5. Копия настоящих возражений и приложений для заявителя и иных участвующих в деле лиц.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Times New Roman" w:hAnsi="Times New Roman" w:eastAsia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</w:pPr>
      <w:r>
        <w:rPr>
          <w:rFonts w:eastAsia="Times New Roman" w:ascii="Times New Roman" w:hAnsi="Times New Roman"/>
          <w:i/>
          <w:iCs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200"/>
        <w:ind w:hanging="0" w:start="0" w:end="0"/>
        <w:rPr>
          <w:rFonts w:ascii="Arial;sans-serif" w:hAnsi="Arial;sans-serif" w:eastAsia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</w:pPr>
      <w:r>
        <w:rPr>
          <w:rFonts w:eastAsia="Times New Roman" w:ascii="Arial;sans-serif" w:hAnsi="Arial;sans-serif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sz w:val="24"/>
          <w:szCs w:val="20"/>
          <w:u w:val="none"/>
          <w:effect w:val="none"/>
          <w:shd w:fill="auto" w:val="clear"/>
        </w:rPr>
        <w:t>00.00.20__                                                                         ________________ / ____</w:t>
      </w:r>
    </w:p>
    <w:p>
      <w:pPr>
        <w:pStyle w:val="BodyText"/>
        <w:spacing w:lineRule="auto" w:line="240" w:before="240" w:after="240"/>
        <w:rPr>
          <w:sz w:val="20"/>
          <w:szCs w:val="20"/>
        </w:rPr>
      </w:pPr>
      <w:r>
        <w:rPr>
          <w:rFonts w:eastAsia="Times New Roman" w:ascii="Times New Roman" w:hAnsi="Times New Roman"/>
          <w:b w:val="false"/>
          <w:i/>
          <w:iCs/>
          <w:color w:val="000000"/>
          <w:sz w:val="20"/>
          <w:szCs w:val="20"/>
        </w:rPr>
        <w:b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850" w:gutter="0" w:header="720" w:top="1134" w:footer="72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ucida Grande CY">
    <w:charset w:val="cc" w:characterSet="windows-1251"/>
    <w:family w:val="roman"/>
    <w:pitch w:val="variable"/>
  </w:font>
  <w:font w:name="PMingLiU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altName w:val="sans-serif"/>
    <w:charset w:val="cc" w:characterSet="windows-1251"/>
    <w:family w:val="auto"/>
    <w:pitch w:val="default"/>
  </w:font>
  <w:font w:name="Calibri Light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text" w:horzAnchor="text" w:bottomFromText="200" w:leftFromText="187" w:rightFromText="187" w:tblpX="0" w:tblpY="1"/>
      <w:tblW w:w="5000" w:type="pct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3946"/>
      <w:gridCol w:w="1795"/>
      <w:gridCol w:w="3948"/>
    </w:tblGrid>
    <w:tr>
      <w:trPr>
        <w:trHeight w:val="151" w:hRule="atLeast"/>
      </w:trPr>
      <w:tc>
        <w:tcPr>
          <w:tcW w:w="3946" w:type="dxa"/>
          <w:tcBorders>
            <w:bottom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  <w:tc>
        <w:tcPr>
          <w:tcW w:w="1795" w:type="dxa"/>
          <w:vMerge w:val="restart"/>
          <w:tcBorders/>
          <w:vAlign w:val="center"/>
        </w:tcPr>
        <w:p>
          <w:pPr>
            <w:pStyle w:val="NoSpacing"/>
            <w:spacing w:lineRule="auto" w:line="276"/>
            <w:rPr>
              <w:rFonts w:ascii="Calibri Light" w:hAnsi="Calibri Light" w:asciiTheme="majorHAnsi" w:hAnsiTheme="majorHAnsi"/>
              <w:color w:themeColor="accent1" w:themeShade="bf" w:val="2E74B5"/>
            </w:rPr>
          </w:pPr>
          <w:sdt>
            <w:sdtPr>
              <w:id w:val="179835412"/>
              <w:showingPlcHdr/>
            </w:sdtPr>
            <w:sdtContent>
              <w:r>
                <w:rPr>
                  <w:rFonts w:ascii="Cambria" w:hAnsi="Cambria"/>
                  <w:color w:themeColor="accent1" w:themeShade="bf" w:val="2E74B5"/>
                </w:rPr>
              </w:r>
              <w:r>
                <w:rPr>
                  <w:rFonts w:ascii="Cambria" w:hAnsi="Cambria"/>
                  <w:color w:themeColor="accent1" w:themeShade="bf" w:val="2E74B5"/>
                </w:rPr>
                <w:t>[Введите текст]</w:t>
              </w:r>
            </w:sdtContent>
          </w:sdt>
        </w:p>
      </w:tc>
      <w:tc>
        <w:tcPr>
          <w:tcW w:w="3948" w:type="dxa"/>
          <w:tcBorders>
            <w:bottom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</w:tr>
    <w:tr>
      <w:trPr>
        <w:trHeight w:val="150" w:hRule="atLeast"/>
      </w:trPr>
      <w:tc>
        <w:tcPr>
          <w:tcW w:w="3946" w:type="dxa"/>
          <w:tcBorders>
            <w:top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  <w:tc>
        <w:tcPr>
          <w:tcW w:w="1795" w:type="dxa"/>
          <w:vMerge w:val="continue"/>
          <w:tcBorders/>
          <w:vAlign w:val="center"/>
        </w:tcPr>
        <w:p>
          <w:pPr>
            <w:pStyle w:val="Normal"/>
            <w:spacing w:lineRule="auto" w:line="240" w:before="0" w:after="0"/>
            <w:rPr>
              <w:rFonts w:ascii="Calibri Light" w:hAnsi="Calibri Light" w:asciiTheme="majorHAnsi" w:hAnsiTheme="majorHAnsi"/>
              <w:color w:themeColor="accent1" w:themeShade="bf" w:val="2E74B5"/>
            </w:rPr>
          </w:pPr>
          <w:r>
            <w:rPr>
              <w:rFonts w:asciiTheme="majorHAnsi" w:hAnsiTheme="majorHAnsi" w:ascii="Calibri Light" w:hAnsi="Calibri Light"/>
              <w:color w:themeColor="accent1" w:themeShade="bf" w:val="2E74B5"/>
            </w:rPr>
          </w:r>
        </w:p>
      </w:tc>
      <w:tc>
        <w:tcPr>
          <w:tcW w:w="3948" w:type="dxa"/>
          <w:tcBorders>
            <w:top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</w:tr>
  </w:tbl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985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4926"/>
      <w:gridCol w:w="4926"/>
    </w:tblGrid>
    <w:tr>
      <w:trPr>
        <w:trHeight w:val="878" w:hRule="atLeast"/>
      </w:trPr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Москва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msk@bankrotstvo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-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476.ru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+7 (49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5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 xml:space="preserve">) 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120-43-55</w:t>
          </w:r>
        </w:p>
      </w:tc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</w:r>
        </w:p>
      </w:tc>
    </w:tr>
  </w:tbl>
  <w:p>
    <w:pPr>
      <w:pStyle w:val="Footer"/>
      <w:rPr>
        <w:color w:themeColor="text1" w:themeTint="80" w:val="7F7F7F"/>
      </w:rPr>
    </w:pPr>
    <w:r>
      <w:rPr>
        <w:color w:themeColor="text1" w:themeTint="80" w:val="7F7F7F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985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4926"/>
      <w:gridCol w:w="4926"/>
    </w:tblGrid>
    <w:tr>
      <w:trPr>
        <w:trHeight w:val="878" w:hRule="atLeast"/>
      </w:trPr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Москва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msk@bankrotstvo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-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476.ru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+7 (49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5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 xml:space="preserve">) 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120-43-55</w:t>
          </w:r>
        </w:p>
      </w:tc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</w:r>
        </w:p>
      </w:tc>
    </w:tr>
  </w:tbl>
  <w:p>
    <w:pPr>
      <w:pStyle w:val="Footer"/>
      <w:rPr>
        <w:color w:themeColor="text1" w:themeTint="80" w:val="7F7F7F"/>
      </w:rPr>
    </w:pPr>
    <w:r>
      <w:rPr>
        <w:color w:themeColor="text1" w:themeTint="80" w:val="7F7F7F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sdt>
      <w:sdtPr>
        <w:id w:val="171999623"/>
        <w:placeholder>
          <w:docPart w:val="4689B1F0FBFE02488AEF527F5AB08AAD"/>
        </w:placeholder>
        <w:showingPlcHdr/>
      </w:sdtPr>
      <w:sdtContent>
        <w:r>
          <w:rPr/>
        </w:r>
        <w:r>
          <w:rPr/>
          <w:t>[Введите текст]</w:t>
        </w:r>
      </w:sdtContent>
    </w:sdt>
    <w:r>
      <w:rPr/>
      <w:tab/>
    </w:r>
    <w:sdt>
      <w:sdtPr>
        <w:id w:val="171999624"/>
        <w:placeholder>
          <w:docPart w:val="F0B90463AF1DDB4991E41828D9B0A344"/>
        </w:placeholder>
        <w:showingPlcHdr/>
      </w:sdtPr>
      <w:sdtContent>
        <w:r>
          <w:rPr/>
        </w:r>
        <w:r>
          <w:rPr/>
          <w:t>[Введите текст]</w:t>
        </w:r>
      </w:sdtContent>
    </w:sdt>
    <w:r>
      <w:rPr/>
      <w:tab/>
    </w:r>
    <w:sdt>
      <w:sdtPr>
        <w:id w:val="171999625"/>
        <w:placeholder>
          <w:docPart w:val="BAFBA0966063334C92C113FC5264903D"/>
        </w:placeholder>
        <w:showingPlcHdr/>
      </w:sdtPr>
      <w:sdtContent>
        <w:r>
          <w:rPr/>
        </w:r>
        <w:r>
          <w:rPr/>
          <w:t>[Введите текст]</w:t>
        </w:r>
      </w:sdtContent>
    </w:sdt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10065" w:type="dxa"/>
      <w:jc w:val="start"/>
      <w:tblInd w:w="-176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6946"/>
      <w:gridCol w:w="3119"/>
    </w:tblGrid>
    <w:tr>
      <w:trPr>
        <w:trHeight w:val="1276" w:hRule="atLeast"/>
      </w:trPr>
      <w:tc>
        <w:tcPr>
          <w:tcW w:w="6946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  <w:drawing>
              <wp:inline distT="0" distB="0" distL="0" distR="0">
                <wp:extent cx="2134235" cy="767715"/>
                <wp:effectExtent l="0" t="0" r="0" b="0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4235" cy="7677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</w:r>
        </w:p>
      </w:tc>
      <w:tc>
        <w:tcPr>
          <w:tcW w:w="3119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Информация и необходимые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документы о банкротстве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физлиц на сайте</w:t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www.bankrotstvo-476.ru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10065" w:type="dxa"/>
      <w:jc w:val="start"/>
      <w:tblInd w:w="-176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6946"/>
      <w:gridCol w:w="3119"/>
    </w:tblGrid>
    <w:tr>
      <w:trPr>
        <w:trHeight w:val="1276" w:hRule="atLeast"/>
      </w:trPr>
      <w:tc>
        <w:tcPr>
          <w:tcW w:w="6946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  <w:drawing>
              <wp:inline distT="0" distB="0" distL="0" distR="0">
                <wp:extent cx="2134235" cy="767715"/>
                <wp:effectExtent l="0" t="0" r="0" b="0"/>
                <wp:docPr id="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4235" cy="7677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</w:r>
        </w:p>
      </w:tc>
      <w:tc>
        <w:tcPr>
          <w:tcW w:w="3119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Информация и необходимые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документы о банкротстве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физлиц на сайте</w:t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www.bankrotstvo-476.ru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Times New Roman" w:asciiTheme="minorHAns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ＭＳ 明朝" w:cs="Times New Roman" w:asciiTheme="minorHAns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490b11"/>
    <w:pPr>
      <w:keepNext w:val="true"/>
      <w:spacing w:lineRule="auto" w:line="240" w:before="0" w:after="0"/>
      <w:ind w:start="5580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qFormat/>
    <w:rsid w:val="00490b11"/>
    <w:pPr>
      <w:keepNext w:val="true"/>
      <w:spacing w:lineRule="auto" w:line="240" w:before="0" w:after="0"/>
      <w:jc w:val="center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490b11"/>
    <w:pPr>
      <w:keepNext w:val="true"/>
      <w:spacing w:lineRule="auto" w:line="240" w:before="0" w:after="0"/>
      <w:jc w:val="both"/>
      <w:outlineLvl w:val="2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uiPriority w:val="99"/>
    <w:qFormat/>
    <w:rPr/>
  </w:style>
  <w:style w:type="character" w:styleId="Style12" w:customStyle="1">
    <w:name w:val="Нижний колонтитул Знак"/>
    <w:basedOn w:val="DefaultParagraphFont"/>
    <w:uiPriority w:val="99"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9643d7"/>
    <w:rPr>
      <w:rFonts w:ascii="Lucida Grande CY" w:hAnsi="Lucida Grande CY" w:cs="Lucida Grande CY"/>
      <w:sz w:val="18"/>
      <w:szCs w:val="18"/>
    </w:rPr>
  </w:style>
  <w:style w:type="character" w:styleId="Style14" w:customStyle="1">
    <w:name w:val="Без интервала Знак"/>
    <w:basedOn w:val="DefaultParagraphFont"/>
    <w:link w:val="NoSpacing"/>
    <w:qFormat/>
    <w:rsid w:val="009643d7"/>
    <w:rPr>
      <w:rFonts w:ascii="PMingLiU" w:hAnsi="PMingLiU" w:cs="" w:cstheme="minorBidi"/>
    </w:rPr>
  </w:style>
  <w:style w:type="character" w:styleId="Hyperlink">
    <w:name w:val="Hyperlink"/>
    <w:basedOn w:val="DefaultParagraphFont"/>
    <w:uiPriority w:val="99"/>
    <w:unhideWhenUsed/>
    <w:rsid w:val="009643d7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43d7"/>
    <w:rPr>
      <w:color w:themeColor="followedHyperlink" w:val="954F72"/>
      <w:u w:val="single"/>
    </w:rPr>
  </w:style>
  <w:style w:type="character" w:styleId="1" w:customStyle="1">
    <w:name w:val="Заголовок 1 Знак"/>
    <w:basedOn w:val="DefaultParagraphFont"/>
    <w:qFormat/>
    <w:rsid w:val="00490b11"/>
    <w:rPr>
      <w:rFonts w:ascii="Times New Roman" w:hAnsi="Times New Roman" w:eastAsia="Times New Roman"/>
      <w:b/>
      <w:bCs/>
      <w:sz w:val="24"/>
      <w:szCs w:val="24"/>
    </w:rPr>
  </w:style>
  <w:style w:type="character" w:styleId="2" w:customStyle="1">
    <w:name w:val="Заголовок 2 Знак"/>
    <w:basedOn w:val="DefaultParagraphFont"/>
    <w:qFormat/>
    <w:rsid w:val="00490b11"/>
    <w:rPr>
      <w:rFonts w:ascii="Times New Roman" w:hAnsi="Times New Roman" w:eastAsia="Times New Roman"/>
      <w:b/>
      <w:bCs/>
      <w:sz w:val="24"/>
      <w:szCs w:val="24"/>
    </w:rPr>
  </w:style>
  <w:style w:type="character" w:styleId="3" w:customStyle="1">
    <w:name w:val="Заголовок 3 Знак"/>
    <w:basedOn w:val="DefaultParagraphFont"/>
    <w:qFormat/>
    <w:rsid w:val="00490b11"/>
    <w:rPr>
      <w:rFonts w:ascii="Times New Roman" w:hAnsi="Times New Roman" w:eastAsia="Times New Roman"/>
      <w:b/>
      <w:bCs/>
      <w:sz w:val="24"/>
      <w:szCs w:val="24"/>
    </w:rPr>
  </w:style>
  <w:style w:type="character" w:styleId="apple-tab-span" w:customStyle="1">
    <w:name w:val="apple-tab-span"/>
    <w:basedOn w:val="DefaultParagraphFont"/>
    <w:qFormat/>
    <w:rsid w:val="008820bd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2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9643d7"/>
    <w:pPr>
      <w:spacing w:lineRule="auto" w:line="240" w:before="0" w:after="0"/>
    </w:pPr>
    <w:rPr>
      <w:rFonts w:ascii="Lucida Grande CY" w:hAnsi="Lucida Grande CY" w:cs="Lucida Grande CY"/>
      <w:sz w:val="18"/>
      <w:szCs w:val="18"/>
    </w:rPr>
  </w:style>
  <w:style w:type="paragraph" w:styleId="NoSpacing">
    <w:name w:val="No Spacing"/>
    <w:link w:val="Style14"/>
    <w:qFormat/>
    <w:rsid w:val="009643d7"/>
    <w:pPr>
      <w:widowControl/>
      <w:bidi w:val="0"/>
      <w:spacing w:lineRule="auto" w:line="240" w:before="0" w:after="0"/>
      <w:jc w:val="start"/>
    </w:pPr>
    <w:rPr>
      <w:rFonts w:ascii="PMingLiU" w:hAnsi="PMingLiU" w:cs="" w:cstheme="minorBidi" w:eastAsia="ＭＳ 明朝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f1c3e"/>
    <w:pPr>
      <w:spacing w:before="0" w:after="160"/>
      <w:ind w:star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8820bd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-1">
    <w:name w:val="Light Shading Accent 1"/>
    <w:basedOn w:val="a1"/>
    <w:uiPriority w:val="60"/>
    <w:rsid w:val="00680fc1"/>
    <w:pPr>
      <w:spacing w:after="0" w:line="240" w:lineRule="auto"/>
    </w:pPr>
    <w:rPr>
      <w:rFonts w:cstheme="minorBidi"/>
      <w:color w:val="2e74b5" w:themeColor="accent1" w:themeShade="bf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glossaryDocument" Target="glossary/document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689B1F0FBFE02488AEF527F5AB08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5AD2C3-83D1-AF4A-829B-8AFE4EF628C0}"/>
      </w:docPartPr>
      <w:docPartBody>
        <w:p w:rsidR="0089593E" w:rsidRDefault="0089593E" w:rsidP="0089593E">
          <w:pPr>
            <w:pStyle w:val="4689B1F0FBFE02488AEF527F5AB08AAD"/>
          </w:pPr>
          <w:r>
            <w:t>[Введите текст]</w:t>
          </w:r>
        </w:p>
      </w:docPartBody>
    </w:docPart>
    <w:docPart>
      <w:docPartPr>
        <w:name w:val="F0B90463AF1DDB4991E41828D9B0A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42F647-896B-2E46-B429-C7DF870BDCEC}"/>
      </w:docPartPr>
      <w:docPartBody>
        <w:p w:rsidR="0089593E" w:rsidRDefault="0089593E" w:rsidP="0089593E">
          <w:pPr>
            <w:pStyle w:val="F0B90463AF1DDB4991E41828D9B0A344"/>
          </w:pPr>
          <w:r>
            <w:t>[Введите текст]</w:t>
          </w:r>
        </w:p>
      </w:docPartBody>
    </w:docPart>
    <w:docPart>
      <w:docPartPr>
        <w:name w:val="BAFBA0966063334C92C113FC526490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B5564-31FC-3647-A42C-4BE9B253E121}"/>
      </w:docPartPr>
      <w:docPartBody>
        <w:p w:rsidR="0089593E" w:rsidRDefault="0089593E" w:rsidP="0089593E">
          <w:pPr>
            <w:pStyle w:val="BAFBA0966063334C92C113FC5264903D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93E"/>
    <w:rsid w:val="000C5FA0"/>
    <w:rsid w:val="00266DF8"/>
    <w:rsid w:val="00275506"/>
    <w:rsid w:val="00436B84"/>
    <w:rsid w:val="004A2A06"/>
    <w:rsid w:val="006662BF"/>
    <w:rsid w:val="006C4115"/>
    <w:rsid w:val="0089593E"/>
    <w:rsid w:val="00AE7592"/>
    <w:rsid w:val="00E0181A"/>
    <w:rsid w:val="00FB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89B1F0FBFE02488AEF527F5AB08AAD">
    <w:name w:val="4689B1F0FBFE02488AEF527F5AB08AAD"/>
    <w:rsid w:val="0089593E"/>
  </w:style>
  <w:style w:type="paragraph" w:customStyle="1" w:styleId="F0B90463AF1DDB4991E41828D9B0A344">
    <w:name w:val="F0B90463AF1DDB4991E41828D9B0A344"/>
    <w:rsid w:val="0089593E"/>
  </w:style>
  <w:style w:type="paragraph" w:customStyle="1" w:styleId="BAFBA0966063334C92C113FC5264903D">
    <w:name w:val="BAFBA0966063334C92C113FC5264903D"/>
    <w:rsid w:val="00895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406806-4769-4F83-A283-3778C3DB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LibreOffice/26.2.5.2$Windows_X86_64 LibreOffice_project/cd7284b4cbbfeb507e630c1aac019f4157393acb</Application>
  <AppVersion>15.0000</AppVersion>
  <Pages>4</Pages>
  <Words>483</Words>
  <Characters>3446</Characters>
  <CharactersWithSpaces>3979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2024-10-22T07:00:00Z</dcterms:created>
  <dc:creator>Национальный Центр Банкротств</dc:creator>
  <dc:description>https://bankrotstvo-476.ru/</dc:description>
  <dc:language>ru-RU</dc:language>
  <cp:lastModifiedBy/>
  <dcterms:modified xsi:type="dcterms:W3CDTF">2026-08-14T13:59:47Z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