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fontTable.xml" ContentType="application/vnd.openxmlformats-officedocument.wordprocessingml.fontTable+xml"/>
  <Override PartName="/word/glossary/settings.xml" ContentType="application/vnd.openxmlformats-officedocument.wordprocessingml.settings+xml"/>
  <Override PartName="/word/glossary/webSettings.xml" ContentType="application/vnd.openxmlformats-officedocument.wordprocessingml.webSetting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lineRule="auto" w:line="240" w:before="0" w:after="0"/>
        <w:jc w:val="end"/>
        <w:rPr>
          <w:rFonts w:ascii="Times New Roman" w:hAnsi="Times New Roman" w:eastAsia="Times New Roman"/>
          <w:sz w:val="24"/>
          <w:szCs w:val="24"/>
        </w:rPr>
      </w:pPr>
      <w:bookmarkStart w:id="0" w:name="docs-internal-guid-69c61d65-7fff-8ef6-36"/>
      <w:bookmarkEnd w:id="0"/>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В Арбитражный суд _________________________</w:t>
      </w:r>
    </w:p>
    <w:p>
      <w:pPr>
        <w:pStyle w:val="BodyText"/>
        <w:bidi w:val="0"/>
        <w:spacing w:lineRule="auto" w:line="430" w:before="0" w:after="200"/>
        <w:ind w:hanging="0" w:start="0" w:end="0"/>
        <w:jc w:val="end"/>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Дело № _________________________</w:t>
      </w:r>
    </w:p>
    <w:p>
      <w:pPr>
        <w:pStyle w:val="BodyText"/>
        <w:bidi w:val="0"/>
        <w:spacing w:lineRule="auto" w:line="430" w:before="0" w:after="200"/>
        <w:ind w:hanging="0" w:start="0" w:end="0"/>
        <w:jc w:val="end"/>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Заявитель: _________________________</w:t>
      </w:r>
    </w:p>
    <w:p>
      <w:pPr>
        <w:pStyle w:val="BodyText"/>
        <w:bidi w:val="0"/>
        <w:spacing w:lineRule="auto" w:line="430" w:before="0" w:after="200"/>
        <w:ind w:hanging="0" w:start="0" w:end="0"/>
        <w:jc w:val="end"/>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(конкурсный кредитор)</w:t>
      </w:r>
    </w:p>
    <w:p>
      <w:pPr>
        <w:pStyle w:val="BodyText"/>
        <w:bidi w:val="0"/>
        <w:spacing w:lineRule="auto" w:line="430" w:before="0" w:after="200"/>
        <w:ind w:hanging="0" w:start="0" w:end="0"/>
        <w:jc w:val="end"/>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Должник: _________________________</w:t>
      </w:r>
    </w:p>
    <w:p>
      <w:pPr>
        <w:pStyle w:val="BodyText"/>
        <w:bidi w:val="0"/>
        <w:spacing w:lineRule="auto" w:line="430" w:before="0" w:after="200"/>
        <w:ind w:hanging="0" w:start="0" w:end="0"/>
        <w:jc w:val="end"/>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адрес: _________________________</w:t>
      </w:r>
    </w:p>
    <w:p>
      <w:pPr>
        <w:pStyle w:val="BodyText"/>
        <w:bidi w:val="0"/>
        <w:spacing w:lineRule="auto" w:line="430" w:before="0" w:after="200"/>
        <w:ind w:hanging="0" w:start="0" w:end="0"/>
        <w:jc w:val="end"/>
        <w:rPr>
          <w:rFonts w:ascii="Times New Roman" w:hAnsi="Times New Roman" w:eastAsia="Times New Roman" w:cs="Arial"/>
          <w:caps w:val="false"/>
          <w:smallCaps w:val="false"/>
          <w:strike w:val="false"/>
          <w:dstrike w:val="false"/>
          <w:color w:val="000000"/>
          <w:sz w:val="24"/>
          <w:szCs w:val="24"/>
          <w:u w:val="none"/>
          <w:effect w:val="none"/>
          <w:shd w:fill="auto" w:val="clear"/>
        </w:rPr>
      </w:pPr>
      <w:r>
        <w:rPr>
          <w:rFonts w:eastAsia="Times New Roman" w:cs="Arial" w:ascii="Times New Roman" w:hAnsi="Times New Roman"/>
          <w:caps w:val="false"/>
          <w:smallCaps w:val="false"/>
          <w:strike w:val="false"/>
          <w:dstrike w:val="false"/>
          <w:color w:val="000000"/>
          <w:sz w:val="24"/>
          <w:szCs w:val="24"/>
          <w:u w:val="none"/>
          <w:effect w:val="none"/>
          <w:shd w:fill="auto" w:val="clear"/>
        </w:rPr>
        <w:t> </w:t>
      </w:r>
    </w:p>
    <w:p>
      <w:pPr>
        <w:pStyle w:val="BodyText"/>
        <w:bidi w:val="0"/>
        <w:spacing w:lineRule="auto" w:line="430" w:before="0" w:after="200"/>
        <w:ind w:hanging="0" w:start="0" w:end="0"/>
        <w:jc w:val="center"/>
        <w:rPr>
          <w:rFonts w:ascii="Arial;sans-serif" w:hAnsi="Arial;sans-serif" w:eastAsia="Times New Roman" w:cs="Arial"/>
          <w:b/>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i w:val="false"/>
          <w:caps w:val="false"/>
          <w:smallCaps w:val="false"/>
          <w:strike w:val="false"/>
          <w:dstrike w:val="false"/>
          <w:color w:val="000000"/>
          <w:sz w:val="24"/>
          <w:szCs w:val="24"/>
          <w:u w:val="none"/>
          <w:effect w:val="none"/>
          <w:shd w:fill="auto" w:val="clear"/>
        </w:rPr>
        <w:t>ВОЗРАЖЕНИЯ</w:t>
      </w:r>
    </w:p>
    <w:p>
      <w:pPr>
        <w:pStyle w:val="BodyText"/>
        <w:bidi w:val="0"/>
        <w:spacing w:lineRule="auto" w:line="430" w:before="0" w:after="200"/>
        <w:ind w:hanging="0" w:start="0" w:end="0"/>
        <w:jc w:val="center"/>
        <w:rPr>
          <w:rFonts w:ascii="Arial;sans-serif" w:hAnsi="Arial;sans-serif" w:eastAsia="Times New Roman" w:cs="Arial"/>
          <w:b/>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i w:val="false"/>
          <w:caps w:val="false"/>
          <w:smallCaps w:val="false"/>
          <w:strike w:val="false"/>
          <w:dstrike w:val="false"/>
          <w:color w:val="000000"/>
          <w:sz w:val="24"/>
          <w:szCs w:val="24"/>
          <w:u w:val="none"/>
          <w:effect w:val="none"/>
          <w:shd w:fill="auto" w:val="clear"/>
        </w:rPr>
        <w:t>на заявление о замене единственного жилья должника на иное жилое помещение</w:t>
      </w:r>
    </w:p>
    <w:p>
      <w:pPr>
        <w:pStyle w:val="BodyText"/>
        <w:bidi w:val="0"/>
        <w:spacing w:lineRule="auto" w:line="430" w:before="0" w:after="200"/>
        <w:ind w:hanging="0" w:start="0" w:end="0"/>
        <w:jc w:val="end"/>
        <w:rPr>
          <w:rFonts w:ascii="Times New Roman" w:hAnsi="Times New Roman" w:eastAsia="Times New Roman" w:cs="Arial"/>
          <w:caps w:val="false"/>
          <w:smallCaps w:val="false"/>
          <w:strike w:val="false"/>
          <w:dstrike w:val="false"/>
          <w:color w:val="000000"/>
          <w:sz w:val="24"/>
          <w:szCs w:val="24"/>
          <w:u w:val="none"/>
          <w:effect w:val="none"/>
          <w:shd w:fill="auto" w:val="clear"/>
        </w:rPr>
      </w:pPr>
      <w:r>
        <w:rPr>
          <w:rFonts w:eastAsia="Times New Roman" w:cs="Arial" w:ascii="Times New Roman" w:hAnsi="Times New Roman"/>
          <w:caps w:val="false"/>
          <w:smallCaps w:val="false"/>
          <w:strike w:val="false"/>
          <w:dstrike w:val="false"/>
          <w:color w:val="000000"/>
          <w:sz w:val="24"/>
          <w:szCs w:val="24"/>
          <w:u w:val="none"/>
          <w:effect w:val="none"/>
          <w:shd w:fill="auto" w:val="clear"/>
        </w:rPr>
        <w:t> </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В производстве Арбитражного суда _________________________ находится дело № _________________________ о несостоятельности (банкротстве) _________________________ (далее — должник).</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В рамках указанного дела кредитором _________________________ подано заявление о понуждении к замене принадлежащего должнику единственного жилого помещения, расположенного по адресу: _________________________ (далее — спорное жилое помещение), на жилое помещение меньшей площади с направлением разницы в конкурсную массу.</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С заявленными требованиями не согласен по следующим основаниям.</w:t>
      </w:r>
    </w:p>
    <w:p>
      <w:pPr>
        <w:pStyle w:val="BodyText"/>
        <w:bidi w:val="0"/>
        <w:spacing w:lineRule="auto" w:line="430" w:before="0" w:after="200"/>
        <w:ind w:hanging="0" w:start="0" w:end="0"/>
        <w:jc w:val="both"/>
        <w:rPr>
          <w:rFonts w:ascii="Arial;sans-serif" w:hAnsi="Arial;sans-serif" w:eastAsia="Times New Roman" w:cs="Arial"/>
          <w:b/>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i w:val="false"/>
          <w:caps w:val="false"/>
          <w:smallCaps w:val="false"/>
          <w:strike w:val="false"/>
          <w:dstrike w:val="false"/>
          <w:color w:val="000000"/>
          <w:sz w:val="24"/>
          <w:szCs w:val="24"/>
          <w:u w:val="none"/>
          <w:effect w:val="none"/>
          <w:shd w:fill="auto" w:val="clear"/>
        </w:rPr>
        <w:t>1. Спорное помещение является единственным пригодным для проживания жильём должника</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В соответствии с абзацем вторым части первой статьи 446 Гражданского процессуального кодекса Российской Федерации и пунктом 3 статьи 213.25 Федерального закона от 26.10.2002 № 127-ФЗ «О несостоятельности (банкротстве)» (далее — Закон о банкротстве) взыскание не может быть обращено на жилое помещение, являющееся для гражданина-должника и членов его семьи единственным пригодным для постоянного проживания, за исключением имущества, являющегося предметом ипотеки.</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Спорное жилое помещение является единственным жилым помещением, принадлежащим должнику на праве собственности, что подтверждается выпиской из Единого государственного реестра недвижимости, и используется должником для постоянного проживания.</w:t>
      </w:r>
    </w:p>
    <w:p>
      <w:pPr>
        <w:pStyle w:val="BodyText"/>
        <w:bidi w:val="0"/>
        <w:spacing w:lineRule="auto" w:line="430" w:before="0" w:after="200"/>
        <w:ind w:hanging="0" w:start="0" w:end="0"/>
        <w:jc w:val="both"/>
        <w:rPr>
          <w:rFonts w:ascii="Arial;sans-serif" w:hAnsi="Arial;sans-serif" w:eastAsia="Times New Roman" w:cs="Arial"/>
          <w:b/>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i w:val="false"/>
          <w:caps w:val="false"/>
          <w:smallCaps w:val="false"/>
          <w:strike w:val="false"/>
          <w:dstrike w:val="false"/>
          <w:color w:val="000000"/>
          <w:sz w:val="24"/>
          <w:szCs w:val="24"/>
          <w:u w:val="none"/>
          <w:effect w:val="none"/>
          <w:shd w:fill="auto" w:val="clear"/>
        </w:rPr>
        <w:t>2. Отсутствуют признаки «роскошного» жилья, допускающие его замену</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Согласно правовой позиции, изложенной в постановлении Конституционного Суда Российской Федерации от 26.04.2021 № 15-П, замена единственного жилого помещения должника на жилое помещение меньшей площади допускается лишь в качестве исключительной меры и только при одновременном соблюдении следующих условий: отсутствие у должника иного имущества, достаточного для удовлетворения требований кредиторов, и обеспечение выручкой от продажи как приобретения замещающего жилья по нормам предоставления жилой площади на условиях социального найма, так и существенного (а не символического) погашения требований кредиторов.</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Сама по себе площадь спорного жилого помещения не является самостоятельным и достаточным критерием для признания его «роскошным». Согласно разъяснениям, содержащимся в обзоре судебной практики по делам о банкротстве граждан, утверждённом Президиумом Верховного Суда Российской Федерации 18.06.2025, при оценке статуса жилого помещения суды учитывают совокупность признаков: расположение, степень элитности жилого комплекса, архитектурные и конструктивные особенности, качество отделки, наличие охраняемой инфраструктуры и технического оснащения, превышающего уровень обычного жилья.</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Заявителем не представлено доказательств наличия у спорного жилого помещения перечисленных признаков. Жилое помещение расположено в доме типовой застройки, какой-либо элитной инфраструктурой или нестандартной отделкой не обладает.</w:t>
      </w:r>
    </w:p>
    <w:p>
      <w:pPr>
        <w:pStyle w:val="BodyText"/>
        <w:bidi w:val="0"/>
        <w:spacing w:lineRule="auto" w:line="430" w:before="0" w:after="200"/>
        <w:ind w:hanging="0" w:start="0" w:end="0"/>
        <w:jc w:val="both"/>
        <w:rPr>
          <w:rFonts w:ascii="Arial;sans-serif" w:hAnsi="Arial;sans-serif" w:eastAsia="Times New Roman" w:cs="Arial"/>
          <w:b/>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i w:val="false"/>
          <w:caps w:val="false"/>
          <w:smallCaps w:val="false"/>
          <w:strike w:val="false"/>
          <w:dstrike w:val="false"/>
          <w:color w:val="000000"/>
          <w:sz w:val="24"/>
          <w:szCs w:val="24"/>
          <w:u w:val="none"/>
          <w:effect w:val="none"/>
          <w:shd w:fill="auto" w:val="clear"/>
        </w:rPr>
        <w:t>3. Заявителем не доказана экономическая целесообразность замены жилья</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Заявителем не представлен расчёт, подтверждающий, что выручка от продажи спорного жилого помещения будет достаточной одновременно для приобретения замещающего жилого помещения по нормам предоставления площади жилого помещения по договору социального найма (из расчёта не менее учётной нормы на члена семьи, определяемой по месту жительства должника) и для существенного погашения требований кредиторов.</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При отсутствии такого расчёта удовлетворение заявления о замене жилья приведёт исключительно к нарушению жилищных прав должника без соразмерного удовлетворения интересов кредиторов, что противоречит цели применения данной исключительной меры, сформулированной Конституционным Судом Российской Федерации.</w:t>
      </w:r>
    </w:p>
    <w:p>
      <w:pPr>
        <w:pStyle w:val="BodyText"/>
        <w:bidi w:val="0"/>
        <w:spacing w:lineRule="auto" w:line="430" w:before="0" w:after="200"/>
        <w:ind w:hanging="0" w:start="0" w:end="0"/>
        <w:jc w:val="both"/>
        <w:rPr>
          <w:rFonts w:ascii="Arial;sans-serif" w:hAnsi="Arial;sans-serif" w:eastAsia="Times New Roman" w:cs="Arial"/>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На основании изложенного, руководствуясь статьёй 446 ГПК РФ, статьёй 213.25 Закона о банкротстве, постановлением Конституционного Суда Российской Федерации от 26.04.2021 № 15-П,</w:t>
      </w:r>
      <w:r>
        <w:rPr>
          <w:rFonts w:eastAsia="Times New Roman" w:cs="Arial" w:ascii="Times New Roman" w:hAnsi="Times New Roman"/>
          <w:caps w:val="false"/>
          <w:smallCaps w:val="false"/>
          <w:strike w:val="false"/>
          <w:dstrike w:val="false"/>
          <w:color w:val="000000"/>
          <w:sz w:val="24"/>
          <w:szCs w:val="24"/>
          <w:u w:val="none"/>
          <w:effect w:val="none"/>
          <w:shd w:fill="auto" w:val="clear"/>
        </w:rPr>
        <w:t> </w:t>
      </w:r>
    </w:p>
    <w:p>
      <w:pPr>
        <w:pStyle w:val="BodyText"/>
        <w:bidi w:val="0"/>
        <w:spacing w:lineRule="auto" w:line="430" w:before="0" w:after="200"/>
        <w:ind w:hanging="0" w:start="0" w:end="0"/>
        <w:jc w:val="both"/>
        <w:rPr>
          <w:rFonts w:ascii="Arial;sans-serif" w:hAnsi="Arial;sans-serif" w:eastAsia="Times New Roman" w:cs="Arial"/>
          <w:b/>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i w:val="false"/>
          <w:caps w:val="false"/>
          <w:smallCaps w:val="false"/>
          <w:strike w:val="false"/>
          <w:dstrike w:val="false"/>
          <w:color w:val="000000"/>
          <w:sz w:val="24"/>
          <w:szCs w:val="24"/>
          <w:u w:val="none"/>
          <w:effect w:val="none"/>
          <w:shd w:fill="auto" w:val="clear"/>
        </w:rPr>
        <w:t>ПРОШУ:</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1. Отказать в удовлетворении заявления о замене единственного жилого помещения должника на жилое помещение меньшей площади.</w:t>
      </w:r>
    </w:p>
    <w:p>
      <w:pPr>
        <w:pStyle w:val="BodyText"/>
        <w:bidi w:val="0"/>
        <w:spacing w:lineRule="auto" w:line="430" w:before="0" w:after="20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2. Приобщить настоящие возражения и приложенные к ним документы к материалам обособленного спора.</w:t>
      </w:r>
    </w:p>
    <w:p>
      <w:pPr>
        <w:pStyle w:val="BodyText"/>
        <w:bidi w:val="0"/>
        <w:spacing w:lineRule="auto" w:line="430" w:before="0" w:after="0"/>
        <w:ind w:hanging="0" w:start="0" w:end="0"/>
        <w:jc w:val="both"/>
        <w:rPr>
          <w:rFonts w:ascii="Arial;sans-serif" w:hAnsi="Arial;sans-serif" w:eastAsia="Times New Roman" w:cs="Arial"/>
          <w:b/>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i w:val="false"/>
          <w:caps w:val="false"/>
          <w:smallCaps w:val="false"/>
          <w:strike w:val="false"/>
          <w:dstrike w:val="false"/>
          <w:color w:val="000000"/>
          <w:sz w:val="24"/>
          <w:szCs w:val="24"/>
          <w:u w:val="none"/>
          <w:effect w:val="none"/>
          <w:shd w:fill="auto" w:val="clear"/>
        </w:rPr>
        <w:t>Приложения:</w:t>
      </w:r>
    </w:p>
    <w:p>
      <w:pPr>
        <w:pStyle w:val="BodyText"/>
        <w:bidi w:val="0"/>
        <w:spacing w:lineRule="auto" w:line="430" w:before="0" w:after="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1. Копия выписки из ЕГРН в отношении спорного жилого помещения;</w:t>
      </w:r>
    </w:p>
    <w:p>
      <w:pPr>
        <w:pStyle w:val="BodyText"/>
        <w:bidi w:val="0"/>
        <w:spacing w:lineRule="auto" w:line="430" w:before="0" w:after="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2. Документы, характеризующие спорное жилое помещение (технический паспорт, фотоматериалы);</w:t>
      </w:r>
    </w:p>
    <w:p>
      <w:pPr>
        <w:pStyle w:val="BodyText"/>
        <w:bidi w:val="0"/>
        <w:spacing w:lineRule="auto" w:line="430" w:before="0" w:after="0"/>
        <w:ind w:hanging="0" w:start="0" w:end="0"/>
        <w:jc w:val="both"/>
        <w:rPr>
          <w:rFonts w:ascii="Arial;sans-serif" w:hAnsi="Arial;sans-serif" w:eastAsia="Times New Roman" w:cs="Arial"/>
          <w:b w:val="false"/>
          <w:i w:val="false"/>
          <w:caps w:val="false"/>
          <w:smallCaps w:val="false"/>
          <w:strike w:val="false"/>
          <w:dstrike w:val="false"/>
          <w:color w:val="000000"/>
          <w:sz w:val="24"/>
          <w:szCs w:val="24"/>
          <w:u w:val="none"/>
          <w:effect w:val="none"/>
          <w:shd w:fill="auto" w:val="clear"/>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3. Сведения об отсутствии у должника иного жилого помещения;</w:t>
      </w:r>
    </w:p>
    <w:p>
      <w:pPr>
        <w:pStyle w:val="BodyText"/>
        <w:bidi w:val="0"/>
        <w:spacing w:lineRule="auto" w:line="430" w:before="0" w:after="0"/>
        <w:ind w:hanging="0" w:start="0" w:end="0"/>
        <w:jc w:val="both"/>
        <w:rPr>
          <w:rFonts w:ascii="Arial;sans-serif" w:hAnsi="Arial;sans-serif" w:eastAsia="Times New Roman" w:cs="Arial"/>
          <w:color w:val="000000"/>
          <w:sz w:val="24"/>
          <w:szCs w:val="24"/>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4. Иные документы, подтверждающие обоснованность возражений.</w:t>
      </w:r>
    </w:p>
    <w:p>
      <w:pPr>
        <w:pStyle w:val="BodyText"/>
        <w:bidi w:val="0"/>
        <w:spacing w:lineRule="auto" w:line="430" w:before="0" w:after="0"/>
        <w:ind w:hanging="0" w:start="0" w:end="0"/>
        <w:jc w:val="both"/>
        <w:rPr>
          <w:rFonts w:ascii="Arial;sans-serif" w:hAnsi="Arial;sans-serif" w:eastAsia="Times New Roman" w:cs="Arial"/>
          <w:color w:val="000000"/>
          <w:sz w:val="24"/>
          <w:szCs w:val="24"/>
        </w:rPr>
      </w:pPr>
      <w:r>
        <w:rPr>
          <w:rFonts w:eastAsia="Times New Roman" w:cs="Arial" w:ascii="Arial;sans-serif" w:hAnsi="Arial;sans-serif"/>
          <w:b w:val="false"/>
          <w:i w:val="false"/>
          <w:caps w:val="false"/>
          <w:smallCaps w:val="false"/>
          <w:strike w:val="false"/>
          <w:dstrike w:val="false"/>
          <w:color w:val="000000"/>
          <w:sz w:val="24"/>
          <w:szCs w:val="24"/>
          <w:u w:val="none"/>
          <w:effect w:val="none"/>
          <w:shd w:fill="auto" w:val="clear"/>
        </w:rPr>
        <w:t>«___» ____________ 20__ г.                    _____________ / __________ /</w:t>
      </w:r>
      <w:r>
        <w:rPr>
          <w:rFonts w:eastAsia="Times New Roman" w:cs="Arial" w:ascii="Times New Roman" w:hAnsi="Times New Roman"/>
          <w:b w:val="false"/>
          <w:color w:val="000000"/>
          <w:sz w:val="24"/>
          <w:szCs w:val="24"/>
        </w:rPr>
        <w:b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701" w:right="850" w:gutter="0" w:header="720" w:top="1134" w:footer="720" w:bottom="1134"/>
      <w:pgNumType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Lucida Grande CY">
    <w:charset w:val="cc" w:characterSet="windows-1251"/>
    <w:family w:val="roman"/>
    <w:pitch w:val="variable"/>
  </w:font>
  <w:font w:name="PMingLiU">
    <w:charset w:val="cc" w:characterSet="windows-1251"/>
    <w:family w:val="roman"/>
    <w:pitch w:val="variable"/>
  </w:font>
  <w:font w:name="Liberation Sans">
    <w:altName w:val="Arial"/>
    <w:charset w:val="cc" w:characterSet="windows-1251"/>
    <w:family w:val="swiss"/>
    <w:pitch w:val="variable"/>
  </w:font>
  <w:font w:name="Arial">
    <w:altName w:val="sans-serif"/>
    <w:charset w:val="cc" w:characterSet="windows-1251"/>
    <w:family w:val="auto"/>
    <w:pitch w:val="default"/>
  </w:font>
  <w:font w:name="Calibri Light">
    <w:charset w:val="cc" w:characterSet="windows-1251"/>
    <w:family w:val="roman"/>
    <w:pitch w:val="variable"/>
  </w:font>
  <w:font w:name="Cambria">
    <w:charset w:val="cc" w:characterSet="windows-125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pPr w:vertAnchor="text" w:horzAnchor="text" w:bottomFromText="200" w:leftFromText="187" w:rightFromText="187" w:tblpX="0" w:tblpY="1"/>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46"/>
      <w:gridCol w:w="1795"/>
      <w:gridCol w:w="3948"/>
    </w:tblGrid>
    <w:tr>
      <w:trPr>
        <w:trHeight w:val="151" w:hRule="atLeast"/>
      </w:trPr>
      <w:tc>
        <w:tcPr>
          <w:tcW w:w="3946" w:type="dxa"/>
          <w:tcBorders>
            <w:bottom w:val="single" w:sz="4" w:space="0" w:color="5B9BD5"/>
          </w:tcBorders>
        </w:tcPr>
        <w:p>
          <w:pPr>
            <w:pStyle w:val="Header"/>
            <w:spacing w:lineRule="auto" w:line="276"/>
            <w:rPr>
              <w:rFonts w:ascii="Calibri Light" w:hAnsi="Calibri Light" w:eastAsia="ＭＳ ゴシック" w:cs="" w:asciiTheme="majorHAnsi" w:cstheme="majorBidi" w:eastAsiaTheme="majorEastAsia" w:hAnsiTheme="majorHAnsi"/>
              <w:b/>
              <w:bCs/>
              <w:color w:themeColor="accent1" w:val="5B9BD5"/>
            </w:rPr>
          </w:pPr>
          <w:r>
            <w:rPr>
              <w:rFonts w:eastAsia="ＭＳ ゴシック" w:cs="" w:cstheme="majorBidi" w:eastAsiaTheme="majorEastAsia" w:ascii="Calibri Light" w:hAnsi="Calibri Light"/>
              <w:b/>
              <w:bCs/>
              <w:color w:themeColor="accent1" w:val="5B9BD5"/>
            </w:rPr>
          </w:r>
        </w:p>
      </w:tc>
      <w:tc>
        <w:tcPr>
          <w:tcW w:w="1795" w:type="dxa"/>
          <w:vMerge w:val="restart"/>
          <w:tcBorders/>
          <w:vAlign w:val="center"/>
        </w:tcPr>
        <w:p>
          <w:pPr>
            <w:pStyle w:val="NoSpacing"/>
            <w:spacing w:lineRule="auto" w:line="276"/>
            <w:rPr>
              <w:rFonts w:ascii="Calibri Light" w:hAnsi="Calibri Light" w:asciiTheme="majorHAnsi" w:hAnsiTheme="majorHAnsi"/>
              <w:color w:themeColor="accent1" w:themeShade="bf" w:val="2E74B5"/>
            </w:rPr>
          </w:pPr>
          <w:sdt>
            <w:sdtPr>
              <w:id w:val="179835412"/>
              <w:showingPlcHdr/>
            </w:sdtPr>
            <w:sdtContent>
              <w:r>
                <w:rPr>
                  <w:rFonts w:ascii="Cambria" w:hAnsi="Cambria"/>
                  <w:color w:themeColor="accent1" w:themeShade="bf" w:val="2E74B5"/>
                </w:rPr>
              </w:r>
              <w:r>
                <w:rPr>
                  <w:rFonts w:ascii="Cambria" w:hAnsi="Cambria"/>
                  <w:color w:themeColor="accent1" w:themeShade="bf" w:val="2E74B5"/>
                </w:rPr>
                <w:t>[Введите текст]</w:t>
              </w:r>
            </w:sdtContent>
          </w:sdt>
        </w:p>
      </w:tc>
      <w:tc>
        <w:tcPr>
          <w:tcW w:w="3948" w:type="dxa"/>
          <w:tcBorders>
            <w:bottom w:val="single" w:sz="4" w:space="0" w:color="5B9BD5"/>
          </w:tcBorders>
        </w:tcPr>
        <w:p>
          <w:pPr>
            <w:pStyle w:val="Header"/>
            <w:spacing w:lineRule="auto" w:line="276"/>
            <w:rPr>
              <w:rFonts w:ascii="Calibri Light" w:hAnsi="Calibri Light" w:eastAsia="ＭＳ ゴシック" w:cs="" w:asciiTheme="majorHAnsi" w:cstheme="majorBidi" w:eastAsiaTheme="majorEastAsia" w:hAnsiTheme="majorHAnsi"/>
              <w:b/>
              <w:bCs/>
              <w:color w:themeColor="accent1" w:val="5B9BD5"/>
            </w:rPr>
          </w:pPr>
          <w:r>
            <w:rPr>
              <w:rFonts w:eastAsia="ＭＳ ゴシック" w:cs="" w:cstheme="majorBidi" w:eastAsiaTheme="majorEastAsia" w:ascii="Calibri Light" w:hAnsi="Calibri Light"/>
              <w:b/>
              <w:bCs/>
              <w:color w:themeColor="accent1" w:val="5B9BD5"/>
            </w:rPr>
          </w:r>
        </w:p>
      </w:tc>
    </w:tr>
    <w:tr>
      <w:trPr>
        <w:trHeight w:val="150" w:hRule="atLeast"/>
      </w:trPr>
      <w:tc>
        <w:tcPr>
          <w:tcW w:w="3946" w:type="dxa"/>
          <w:tcBorders>
            <w:top w:val="single" w:sz="4" w:space="0" w:color="5B9BD5"/>
          </w:tcBorders>
        </w:tcPr>
        <w:p>
          <w:pPr>
            <w:pStyle w:val="Header"/>
            <w:spacing w:lineRule="auto" w:line="276"/>
            <w:rPr>
              <w:rFonts w:ascii="Calibri Light" w:hAnsi="Calibri Light" w:eastAsia="ＭＳ ゴシック" w:cs="" w:asciiTheme="majorHAnsi" w:cstheme="majorBidi" w:eastAsiaTheme="majorEastAsia" w:hAnsiTheme="majorHAnsi"/>
              <w:b/>
              <w:bCs/>
              <w:color w:themeColor="accent1" w:val="5B9BD5"/>
            </w:rPr>
          </w:pPr>
          <w:r>
            <w:rPr>
              <w:rFonts w:eastAsia="ＭＳ ゴシック" w:cs="" w:cstheme="majorBidi" w:eastAsiaTheme="majorEastAsia" w:ascii="Calibri Light" w:hAnsi="Calibri Light"/>
              <w:b/>
              <w:bCs/>
              <w:color w:themeColor="accent1" w:val="5B9BD5"/>
            </w:rPr>
          </w:r>
        </w:p>
      </w:tc>
      <w:tc>
        <w:tcPr>
          <w:tcW w:w="1795" w:type="dxa"/>
          <w:vMerge w:val="continue"/>
          <w:tcBorders/>
          <w:vAlign w:val="center"/>
        </w:tcPr>
        <w:p>
          <w:pPr>
            <w:pStyle w:val="Normal"/>
            <w:spacing w:lineRule="auto" w:line="240" w:before="0" w:after="0"/>
            <w:rPr>
              <w:rFonts w:ascii="Calibri Light" w:hAnsi="Calibri Light" w:asciiTheme="majorHAnsi" w:hAnsiTheme="majorHAnsi"/>
              <w:color w:themeColor="accent1" w:themeShade="bf" w:val="2E74B5"/>
            </w:rPr>
          </w:pPr>
          <w:r>
            <w:rPr>
              <w:rFonts w:asciiTheme="majorHAnsi" w:hAnsiTheme="majorHAnsi" w:ascii="Calibri Light" w:hAnsi="Calibri Light"/>
              <w:color w:themeColor="accent1" w:themeShade="bf" w:val="2E74B5"/>
            </w:rPr>
          </w:r>
        </w:p>
      </w:tc>
      <w:tc>
        <w:tcPr>
          <w:tcW w:w="3948" w:type="dxa"/>
          <w:tcBorders>
            <w:top w:val="single" w:sz="4" w:space="0" w:color="5B9BD5"/>
          </w:tcBorders>
        </w:tcPr>
        <w:p>
          <w:pPr>
            <w:pStyle w:val="Header"/>
            <w:spacing w:lineRule="auto" w:line="276"/>
            <w:rPr>
              <w:rFonts w:ascii="Calibri Light" w:hAnsi="Calibri Light" w:eastAsia="ＭＳ ゴシック" w:cs="" w:asciiTheme="majorHAnsi" w:cstheme="majorBidi" w:eastAsiaTheme="majorEastAsia" w:hAnsiTheme="majorHAnsi"/>
              <w:b/>
              <w:bCs/>
              <w:color w:themeColor="accent1" w:val="5B9BD5"/>
            </w:rPr>
          </w:pPr>
          <w:r>
            <w:rPr>
              <w:rFonts w:eastAsia="ＭＳ ゴシック" w:cs="" w:cstheme="majorBidi" w:eastAsiaTheme="majorEastAsia" w:ascii="Calibri Light" w:hAnsi="Calibri Light"/>
              <w:b/>
              <w:bCs/>
              <w:color w:themeColor="accent1" w:val="5B9BD5"/>
            </w:rPr>
          </w:r>
        </w:p>
      </w:tc>
    </w:tr>
  </w:tbl>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3"/>
      <w:tblW w:w="985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926"/>
      <w:gridCol w:w="4926"/>
    </w:tblGrid>
    <w:tr>
      <w:trPr>
        <w:trHeight w:val="878" w:hRule="atLeast"/>
      </w:trPr>
      <w:tc>
        <w:tcPr>
          <w:tcW w:w="4926" w:type="dxa"/>
          <w:tcBorders>
            <w:top w:val="nil"/>
            <w:start w:val="nil"/>
            <w:bottom w:val="nil"/>
            <w:end w:val="nil"/>
          </w:tcBorders>
          <w:shd w:color="auto" w:fill="FFFFFF" w:themeFill="background1" w:val="clear"/>
        </w:tcPr>
        <w:p>
          <w:pPr>
            <w:pStyle w:val="Header"/>
            <w:widowControl/>
            <w:spacing w:before="0" w:after="0"/>
            <w:jc w:val="start"/>
            <w:rPr>
              <w:color w:themeColor="text1" w:themeTint="80" w:val="7F7F7F"/>
            </w:rPr>
          </w:pPr>
          <w:r>
            <w:rPr>
              <w:rFonts w:eastAsia="ＭＳ 明朝" w:cs="Times New Roman"/>
              <w:color w:themeColor="text1" w:themeTint="80" w:val="7F7F7F"/>
              <w:kern w:val="0"/>
              <w:sz w:val="22"/>
              <w:szCs w:val="22"/>
              <w:lang w:val="ru-RU" w:eastAsia="ru-RU" w:bidi="ar-SA"/>
            </w:rPr>
            <w:t>Москва</w:t>
          </w:r>
        </w:p>
        <w:p>
          <w:pPr>
            <w:pStyle w:val="Header"/>
            <w:widowControl/>
            <w:spacing w:before="0" w:after="0"/>
            <w:jc w:val="start"/>
            <w:rPr>
              <w:color w:themeColor="text1" w:themeTint="80" w:val="7F7F7F"/>
              <w:lang w:val="en-US"/>
            </w:rPr>
          </w:pPr>
          <w:r>
            <w:rPr>
              <w:rFonts w:eastAsia="ＭＳ 明朝" w:cs="Times New Roman"/>
              <w:color w:themeColor="text1" w:themeTint="80" w:val="7F7F7F"/>
              <w:kern w:val="0"/>
              <w:sz w:val="22"/>
              <w:szCs w:val="22"/>
              <w:lang w:val="en-US" w:eastAsia="ru-RU" w:bidi="ar-SA"/>
            </w:rPr>
            <w:t>msk@bankrotstvo</w:t>
          </w:r>
          <w:r>
            <w:rPr>
              <w:rFonts w:eastAsia="ＭＳ 明朝" w:cs="Times New Roman"/>
              <w:color w:themeColor="text1" w:themeTint="80" w:val="7F7F7F"/>
              <w:kern w:val="0"/>
              <w:sz w:val="22"/>
              <w:szCs w:val="22"/>
              <w:lang w:val="ru-RU" w:eastAsia="ru-RU" w:bidi="ar-SA"/>
            </w:rPr>
            <w:t>-</w:t>
          </w:r>
          <w:r>
            <w:rPr>
              <w:rFonts w:eastAsia="ＭＳ 明朝" w:cs="Times New Roman"/>
              <w:color w:themeColor="text1" w:themeTint="80" w:val="7F7F7F"/>
              <w:kern w:val="0"/>
              <w:sz w:val="22"/>
              <w:szCs w:val="22"/>
              <w:lang w:val="en-US" w:eastAsia="ru-RU" w:bidi="ar-SA"/>
            </w:rPr>
            <w:t>476.ru</w:t>
          </w:r>
        </w:p>
        <w:p>
          <w:pPr>
            <w:pStyle w:val="Header"/>
            <w:widowControl/>
            <w:spacing w:before="0" w:after="0"/>
            <w:jc w:val="start"/>
            <w:rPr>
              <w:color w:themeColor="text1" w:themeTint="80" w:val="7F7F7F"/>
            </w:rPr>
          </w:pPr>
          <w:r>
            <w:rPr>
              <w:rFonts w:eastAsia="ＭＳ 明朝" w:cs="Times New Roman"/>
              <w:color w:themeColor="text1" w:themeTint="80" w:val="7F7F7F"/>
              <w:kern w:val="0"/>
              <w:sz w:val="22"/>
              <w:szCs w:val="22"/>
              <w:lang w:val="en-US" w:eastAsia="ru-RU" w:bidi="ar-SA"/>
            </w:rPr>
            <w:t>+7 (49</w:t>
          </w:r>
          <w:r>
            <w:rPr>
              <w:rFonts w:eastAsia="ＭＳ 明朝" w:cs="Times New Roman"/>
              <w:color w:themeColor="text1" w:themeTint="80" w:val="7F7F7F"/>
              <w:kern w:val="0"/>
              <w:sz w:val="22"/>
              <w:szCs w:val="22"/>
              <w:lang w:val="ru-RU" w:eastAsia="ru-RU" w:bidi="ar-SA"/>
            </w:rPr>
            <w:t>5</w:t>
          </w:r>
          <w:r>
            <w:rPr>
              <w:rFonts w:eastAsia="ＭＳ 明朝" w:cs="Times New Roman"/>
              <w:color w:themeColor="text1" w:themeTint="80" w:val="7F7F7F"/>
              <w:kern w:val="0"/>
              <w:sz w:val="22"/>
              <w:szCs w:val="22"/>
              <w:lang w:val="en-US" w:eastAsia="ru-RU" w:bidi="ar-SA"/>
            </w:rPr>
            <w:t xml:space="preserve">) </w:t>
          </w:r>
          <w:r>
            <w:rPr>
              <w:rFonts w:eastAsia="ＭＳ 明朝" w:cs="Times New Roman"/>
              <w:color w:themeColor="text1" w:themeTint="80" w:val="7F7F7F"/>
              <w:kern w:val="0"/>
              <w:sz w:val="22"/>
              <w:szCs w:val="22"/>
              <w:lang w:val="ru-RU" w:eastAsia="ru-RU" w:bidi="ar-SA"/>
            </w:rPr>
            <w:t>120-43-55</w:t>
          </w:r>
        </w:p>
      </w:tc>
      <w:tc>
        <w:tcPr>
          <w:tcW w:w="4926" w:type="dxa"/>
          <w:tcBorders>
            <w:top w:val="nil"/>
            <w:start w:val="nil"/>
            <w:bottom w:val="nil"/>
            <w:end w:val="nil"/>
          </w:tcBorders>
          <w:shd w:color="auto" w:fill="FFFFFF" w:themeFill="background1" w:val="clear"/>
        </w:tcPr>
        <w:p>
          <w:pPr>
            <w:pStyle w:val="Header"/>
            <w:widowControl/>
            <w:spacing w:before="0" w:after="0"/>
            <w:jc w:val="start"/>
            <w:rPr>
              <w:color w:themeColor="text1" w:themeTint="80" w:val="7F7F7F"/>
              <w:lang w:val="en-US"/>
            </w:rPr>
          </w:pPr>
          <w:r>
            <w:rPr>
              <w:rFonts w:eastAsia="ＭＳ 明朝" w:cs="Times New Roman"/>
              <w:color w:themeColor="text1" w:themeTint="80" w:val="7F7F7F"/>
              <w:kern w:val="0"/>
              <w:sz w:val="22"/>
              <w:szCs w:val="22"/>
              <w:lang w:val="en-US" w:eastAsia="ru-RU" w:bidi="ar-SA"/>
            </w:rPr>
          </w:r>
        </w:p>
      </w:tc>
    </w:tr>
  </w:tbl>
  <w:p>
    <w:pPr>
      <w:pStyle w:val="Footer"/>
      <w:rPr>
        <w:color w:themeColor="text1" w:themeTint="80" w:val="7F7F7F"/>
      </w:rPr>
    </w:pPr>
    <w:r>
      <w:rPr>
        <w:color w:themeColor="text1" w:themeTint="80" w:val="7F7F7F"/>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3"/>
      <w:tblW w:w="985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926"/>
      <w:gridCol w:w="4926"/>
    </w:tblGrid>
    <w:tr>
      <w:trPr>
        <w:trHeight w:val="878" w:hRule="atLeast"/>
      </w:trPr>
      <w:tc>
        <w:tcPr>
          <w:tcW w:w="4926" w:type="dxa"/>
          <w:tcBorders>
            <w:top w:val="nil"/>
            <w:start w:val="nil"/>
            <w:bottom w:val="nil"/>
            <w:end w:val="nil"/>
          </w:tcBorders>
          <w:shd w:color="auto" w:fill="FFFFFF" w:themeFill="background1" w:val="clear"/>
        </w:tcPr>
        <w:p>
          <w:pPr>
            <w:pStyle w:val="Header"/>
            <w:widowControl/>
            <w:spacing w:before="0" w:after="0"/>
            <w:jc w:val="start"/>
            <w:rPr>
              <w:color w:themeColor="text1" w:themeTint="80" w:val="7F7F7F"/>
            </w:rPr>
          </w:pPr>
          <w:r>
            <w:rPr>
              <w:rFonts w:eastAsia="ＭＳ 明朝" w:cs="Times New Roman"/>
              <w:color w:themeColor="text1" w:themeTint="80" w:val="7F7F7F"/>
              <w:kern w:val="0"/>
              <w:sz w:val="22"/>
              <w:szCs w:val="22"/>
              <w:lang w:val="ru-RU" w:eastAsia="ru-RU" w:bidi="ar-SA"/>
            </w:rPr>
            <w:t>Москва</w:t>
          </w:r>
        </w:p>
        <w:p>
          <w:pPr>
            <w:pStyle w:val="Header"/>
            <w:widowControl/>
            <w:spacing w:before="0" w:after="0"/>
            <w:jc w:val="start"/>
            <w:rPr>
              <w:color w:themeColor="text1" w:themeTint="80" w:val="7F7F7F"/>
              <w:lang w:val="en-US"/>
            </w:rPr>
          </w:pPr>
          <w:r>
            <w:rPr>
              <w:rFonts w:eastAsia="ＭＳ 明朝" w:cs="Times New Roman"/>
              <w:color w:themeColor="text1" w:themeTint="80" w:val="7F7F7F"/>
              <w:kern w:val="0"/>
              <w:sz w:val="22"/>
              <w:szCs w:val="22"/>
              <w:lang w:val="en-US" w:eastAsia="ru-RU" w:bidi="ar-SA"/>
            </w:rPr>
            <w:t>msk@bankrotstvo</w:t>
          </w:r>
          <w:r>
            <w:rPr>
              <w:rFonts w:eastAsia="ＭＳ 明朝" w:cs="Times New Roman"/>
              <w:color w:themeColor="text1" w:themeTint="80" w:val="7F7F7F"/>
              <w:kern w:val="0"/>
              <w:sz w:val="22"/>
              <w:szCs w:val="22"/>
              <w:lang w:val="ru-RU" w:eastAsia="ru-RU" w:bidi="ar-SA"/>
            </w:rPr>
            <w:t>-</w:t>
          </w:r>
          <w:r>
            <w:rPr>
              <w:rFonts w:eastAsia="ＭＳ 明朝" w:cs="Times New Roman"/>
              <w:color w:themeColor="text1" w:themeTint="80" w:val="7F7F7F"/>
              <w:kern w:val="0"/>
              <w:sz w:val="22"/>
              <w:szCs w:val="22"/>
              <w:lang w:val="en-US" w:eastAsia="ru-RU" w:bidi="ar-SA"/>
            </w:rPr>
            <w:t>476.ru</w:t>
          </w:r>
        </w:p>
        <w:p>
          <w:pPr>
            <w:pStyle w:val="Header"/>
            <w:widowControl/>
            <w:spacing w:before="0" w:after="0"/>
            <w:jc w:val="start"/>
            <w:rPr>
              <w:color w:themeColor="text1" w:themeTint="80" w:val="7F7F7F"/>
            </w:rPr>
          </w:pPr>
          <w:r>
            <w:rPr>
              <w:rFonts w:eastAsia="ＭＳ 明朝" w:cs="Times New Roman"/>
              <w:color w:themeColor="text1" w:themeTint="80" w:val="7F7F7F"/>
              <w:kern w:val="0"/>
              <w:sz w:val="22"/>
              <w:szCs w:val="22"/>
              <w:lang w:val="en-US" w:eastAsia="ru-RU" w:bidi="ar-SA"/>
            </w:rPr>
            <w:t>+7 (49</w:t>
          </w:r>
          <w:r>
            <w:rPr>
              <w:rFonts w:eastAsia="ＭＳ 明朝" w:cs="Times New Roman"/>
              <w:color w:themeColor="text1" w:themeTint="80" w:val="7F7F7F"/>
              <w:kern w:val="0"/>
              <w:sz w:val="22"/>
              <w:szCs w:val="22"/>
              <w:lang w:val="ru-RU" w:eastAsia="ru-RU" w:bidi="ar-SA"/>
            </w:rPr>
            <w:t>5</w:t>
          </w:r>
          <w:r>
            <w:rPr>
              <w:rFonts w:eastAsia="ＭＳ 明朝" w:cs="Times New Roman"/>
              <w:color w:themeColor="text1" w:themeTint="80" w:val="7F7F7F"/>
              <w:kern w:val="0"/>
              <w:sz w:val="22"/>
              <w:szCs w:val="22"/>
              <w:lang w:val="en-US" w:eastAsia="ru-RU" w:bidi="ar-SA"/>
            </w:rPr>
            <w:t xml:space="preserve">) </w:t>
          </w:r>
          <w:r>
            <w:rPr>
              <w:rFonts w:eastAsia="ＭＳ 明朝" w:cs="Times New Roman"/>
              <w:color w:themeColor="text1" w:themeTint="80" w:val="7F7F7F"/>
              <w:kern w:val="0"/>
              <w:sz w:val="22"/>
              <w:szCs w:val="22"/>
              <w:lang w:val="ru-RU" w:eastAsia="ru-RU" w:bidi="ar-SA"/>
            </w:rPr>
            <w:t>120-43-55</w:t>
          </w:r>
        </w:p>
      </w:tc>
      <w:tc>
        <w:tcPr>
          <w:tcW w:w="4926" w:type="dxa"/>
          <w:tcBorders>
            <w:top w:val="nil"/>
            <w:start w:val="nil"/>
            <w:bottom w:val="nil"/>
            <w:end w:val="nil"/>
          </w:tcBorders>
          <w:shd w:color="auto" w:fill="FFFFFF" w:themeFill="background1" w:val="clear"/>
        </w:tcPr>
        <w:p>
          <w:pPr>
            <w:pStyle w:val="Header"/>
            <w:widowControl/>
            <w:spacing w:before="0" w:after="0"/>
            <w:jc w:val="start"/>
            <w:rPr>
              <w:color w:themeColor="text1" w:themeTint="80" w:val="7F7F7F"/>
              <w:lang w:val="en-US"/>
            </w:rPr>
          </w:pPr>
          <w:r>
            <w:rPr>
              <w:rFonts w:eastAsia="ＭＳ 明朝" w:cs="Times New Roman"/>
              <w:color w:themeColor="text1" w:themeTint="80" w:val="7F7F7F"/>
              <w:kern w:val="0"/>
              <w:sz w:val="22"/>
              <w:szCs w:val="22"/>
              <w:lang w:val="en-US" w:eastAsia="ru-RU" w:bidi="ar-SA"/>
            </w:rPr>
          </w:r>
        </w:p>
      </w:tc>
    </w:tr>
  </w:tbl>
  <w:p>
    <w:pPr>
      <w:pStyle w:val="Footer"/>
      <w:rPr>
        <w:color w:themeColor="text1" w:themeTint="80" w:val="7F7F7F"/>
      </w:rPr>
    </w:pPr>
    <w:r>
      <w:rPr>
        <w:color w:themeColor="text1" w:themeTint="80" w:val="7F7F7F"/>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sdt>
      <w:sdtPr>
        <w:id w:val="171999623"/>
        <w:placeholder>
          <w:docPart w:val="4689B1F0FBFE02488AEF527F5AB08AAD"/>
        </w:placeholder>
        <w:showingPlcHdr/>
      </w:sdtPr>
      <w:sdtContent>
        <w:r>
          <w:rPr/>
        </w:r>
        <w:r>
          <w:rPr/>
          <w:t>[Введите текст]</w:t>
        </w:r>
      </w:sdtContent>
    </w:sdt>
    <w:r>
      <w:rPr/>
      <w:tab/>
    </w:r>
    <w:sdt>
      <w:sdtPr>
        <w:id w:val="171999624"/>
        <w:placeholder>
          <w:docPart w:val="F0B90463AF1DDB4991E41828D9B0A344"/>
        </w:placeholder>
        <w:showingPlcHdr/>
      </w:sdtPr>
      <w:sdtContent>
        <w:r>
          <w:rPr/>
        </w:r>
        <w:r>
          <w:rPr/>
          <w:t>[Введите текст]</w:t>
        </w:r>
      </w:sdtContent>
    </w:sdt>
    <w:r>
      <w:rPr/>
      <w:tab/>
    </w:r>
    <w:sdt>
      <w:sdtPr>
        <w:id w:val="171999625"/>
        <w:placeholder>
          <w:docPart w:val="BAFBA0966063334C92C113FC5264903D"/>
        </w:placeholder>
        <w:showingPlcHdr/>
      </w:sdtPr>
      <w:sdtContent>
        <w:r>
          <w:rPr/>
        </w:r>
        <w:r>
          <w:rPr/>
          <w:t>[Введите текст]</w:t>
        </w:r>
      </w:sdtContent>
    </w:sdt>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3"/>
      <w:tblW w:w="10065" w:type="dxa"/>
      <w:jc w:val="start"/>
      <w:tblInd w:w="-176" w:type="dxa"/>
      <w:tblLayout w:type="fixed"/>
      <w:tblCellMar>
        <w:top w:w="0" w:type="dxa"/>
        <w:start w:w="108" w:type="dxa"/>
        <w:bottom w:w="0" w:type="dxa"/>
        <w:end w:w="108" w:type="dxa"/>
      </w:tblCellMar>
      <w:tblLook w:val="04a0" w:firstRow="1" w:noVBand="1" w:lastRow="0" w:firstColumn="1" w:lastColumn="0" w:noHBand="0"/>
    </w:tblPr>
    <w:tblGrid>
      <w:gridCol w:w="6946"/>
      <w:gridCol w:w="3119"/>
    </w:tblGrid>
    <w:tr>
      <w:trPr>
        <w:trHeight w:val="1276" w:hRule="atLeast"/>
      </w:trPr>
      <w:tc>
        <w:tcPr>
          <w:tcW w:w="6946" w:type="dxa"/>
          <w:tcBorders>
            <w:top w:val="nil"/>
            <w:start w:val="nil"/>
            <w:bottom w:val="nil"/>
            <w:end w:val="nil"/>
          </w:tcBorders>
        </w:tcPr>
        <w:p>
          <w:pPr>
            <w:pStyle w:val="Header"/>
            <w:widowControl/>
            <w:spacing w:before="0" w:after="0"/>
            <w:jc w:val="start"/>
            <w:rPr>
              <w:rFonts w:ascii="Calibri" w:hAnsi="Calibri" w:eastAsia="ＭＳ 明朝" w:cs="Times New Roman"/>
              <w:kern w:val="0"/>
              <w:sz w:val="22"/>
              <w:szCs w:val="22"/>
              <w:lang w:val="ru-RU" w:eastAsia="ru-RU" w:bidi="ar-SA"/>
            </w:rPr>
          </w:pPr>
          <w:r>
            <w:rPr>
              <w:rFonts w:eastAsia="ＭＳ 明朝" w:cs="Times New Roman"/>
              <w:kern w:val="0"/>
              <w:sz w:val="22"/>
              <w:szCs w:val="22"/>
              <w:lang w:val="ru-RU" w:eastAsia="ru-RU" w:bidi="ar-SA"/>
            </w:rPr>
            <w:drawing>
              <wp:inline distT="0" distB="0" distL="0" distR="0">
                <wp:extent cx="2134235" cy="76771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
                        <a:stretch>
                          <a:fillRect/>
                        </a:stretch>
                      </pic:blipFill>
                      <pic:spPr bwMode="auto">
                        <a:xfrm>
                          <a:off x="0" y="0"/>
                          <a:ext cx="2134235" cy="767715"/>
                        </a:xfrm>
                        <a:prstGeom prst="rect">
                          <a:avLst/>
                        </a:prstGeom>
                        <a:noFill/>
                      </pic:spPr>
                    </pic:pic>
                  </a:graphicData>
                </a:graphic>
              </wp:inline>
            </w:drawing>
          </w:r>
        </w:p>
        <w:p>
          <w:pPr>
            <w:pStyle w:val="Header"/>
            <w:widowControl/>
            <w:spacing w:before="0" w:after="0"/>
            <w:jc w:val="start"/>
            <w:rPr>
              <w:rFonts w:ascii="Calibri" w:hAnsi="Calibri" w:eastAsia="ＭＳ 明朝" w:cs="Times New Roman"/>
              <w:kern w:val="0"/>
              <w:sz w:val="22"/>
              <w:szCs w:val="22"/>
              <w:lang w:val="ru-RU" w:eastAsia="ru-RU" w:bidi="ar-SA"/>
            </w:rPr>
          </w:pPr>
          <w:r>
            <w:rPr>
              <w:rFonts w:eastAsia="ＭＳ 明朝" w:cs="Times New Roman"/>
              <w:kern w:val="0"/>
              <w:sz w:val="22"/>
              <w:szCs w:val="22"/>
              <w:lang w:val="ru-RU" w:eastAsia="ru-RU" w:bidi="ar-SA"/>
            </w:rPr>
          </w:r>
        </w:p>
      </w:tc>
      <w:tc>
        <w:tcPr>
          <w:tcW w:w="3119" w:type="dxa"/>
          <w:tcBorders>
            <w:top w:val="nil"/>
            <w:start w:val="nil"/>
            <w:bottom w:val="nil"/>
            <w:end w:val="nil"/>
          </w:tcBorders>
        </w:tcPr>
        <w:p>
          <w:pPr>
            <w:pStyle w:val="Header"/>
            <w:widowControl/>
            <w:spacing w:before="0" w:after="0"/>
            <w:jc w:val="start"/>
            <w:rPr>
              <w:rFonts w:ascii="Times New Roman" w:hAnsi="Times New Roman"/>
              <w:i/>
              <w:color w:themeColor="text1" w:val="000000"/>
              <w:sz w:val="24"/>
              <w:szCs w:val="24"/>
            </w:rPr>
          </w:pPr>
          <w:r>
            <w:rPr>
              <w:rFonts w:eastAsia="ＭＳ 明朝" w:cs="Times New Roman" w:ascii="Times New Roman" w:hAnsi="Times New Roman"/>
              <w:i/>
              <w:color w:themeColor="text1" w:val="000000"/>
              <w:kern w:val="0"/>
              <w:sz w:val="24"/>
              <w:szCs w:val="24"/>
              <w:lang w:val="ru-RU" w:eastAsia="ru-RU" w:bidi="ar-SA"/>
            </w:rPr>
            <w:t>Информация и необходимые</w:t>
          </w:r>
        </w:p>
        <w:p>
          <w:pPr>
            <w:pStyle w:val="Header"/>
            <w:widowControl/>
            <w:spacing w:before="0" w:after="0"/>
            <w:jc w:val="start"/>
            <w:rPr>
              <w:rFonts w:ascii="Times New Roman" w:hAnsi="Times New Roman"/>
              <w:i/>
              <w:color w:themeColor="text1" w:val="000000"/>
              <w:sz w:val="24"/>
              <w:szCs w:val="24"/>
            </w:rPr>
          </w:pPr>
          <w:r>
            <w:rPr>
              <w:rFonts w:eastAsia="ＭＳ 明朝" w:cs="Times New Roman" w:ascii="Times New Roman" w:hAnsi="Times New Roman"/>
              <w:i/>
              <w:color w:themeColor="text1" w:val="000000"/>
              <w:kern w:val="0"/>
              <w:sz w:val="24"/>
              <w:szCs w:val="24"/>
              <w:lang w:val="ru-RU" w:eastAsia="ru-RU" w:bidi="ar-SA"/>
            </w:rPr>
            <w:t>документы о банкротстве</w:t>
          </w:r>
        </w:p>
        <w:p>
          <w:pPr>
            <w:pStyle w:val="Header"/>
            <w:widowControl/>
            <w:spacing w:before="0" w:after="0"/>
            <w:jc w:val="start"/>
            <w:rPr>
              <w:rFonts w:ascii="Times New Roman" w:hAnsi="Times New Roman"/>
              <w:i/>
              <w:color w:themeColor="text1" w:val="000000"/>
              <w:sz w:val="24"/>
              <w:szCs w:val="24"/>
            </w:rPr>
          </w:pPr>
          <w:r>
            <w:rPr>
              <w:rFonts w:eastAsia="ＭＳ 明朝" w:cs="Times New Roman" w:ascii="Times New Roman" w:hAnsi="Times New Roman"/>
              <w:i/>
              <w:color w:themeColor="text1" w:val="000000"/>
              <w:kern w:val="0"/>
              <w:sz w:val="24"/>
              <w:szCs w:val="24"/>
              <w:lang w:val="ru-RU" w:eastAsia="ru-RU" w:bidi="ar-SA"/>
            </w:rPr>
            <w:t>физлиц на сайте</w:t>
          </w:r>
        </w:p>
        <w:p>
          <w:pPr>
            <w:pStyle w:val="Header"/>
            <w:widowControl/>
            <w:spacing w:before="0" w:after="0"/>
            <w:jc w:val="start"/>
            <w:rPr>
              <w:rFonts w:ascii="Calibri" w:hAnsi="Calibri" w:eastAsia="ＭＳ 明朝" w:cs="Times New Roman"/>
              <w:kern w:val="0"/>
              <w:sz w:val="22"/>
              <w:szCs w:val="22"/>
              <w:lang w:val="ru-RU" w:eastAsia="ru-RU" w:bidi="ar-SA"/>
            </w:rPr>
          </w:pPr>
          <w:r>
            <w:rPr>
              <w:rFonts w:eastAsia="ＭＳ 明朝" w:cs="Times New Roman" w:ascii="Times New Roman" w:hAnsi="Times New Roman"/>
              <w:i/>
              <w:color w:themeColor="text1" w:val="000000"/>
              <w:kern w:val="0"/>
              <w:sz w:val="24"/>
              <w:szCs w:val="24"/>
              <w:lang w:val="ru-RU" w:eastAsia="ru-RU" w:bidi="ar-SA"/>
            </w:rPr>
            <w:t>www.bankrotstvo-476.ru</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a3"/>
      <w:tblW w:w="10065" w:type="dxa"/>
      <w:jc w:val="start"/>
      <w:tblInd w:w="-176" w:type="dxa"/>
      <w:tblLayout w:type="fixed"/>
      <w:tblCellMar>
        <w:top w:w="0" w:type="dxa"/>
        <w:start w:w="108" w:type="dxa"/>
        <w:bottom w:w="0" w:type="dxa"/>
        <w:end w:w="108" w:type="dxa"/>
      </w:tblCellMar>
      <w:tblLook w:val="04a0" w:firstRow="1" w:noVBand="1" w:lastRow="0" w:firstColumn="1" w:lastColumn="0" w:noHBand="0"/>
    </w:tblPr>
    <w:tblGrid>
      <w:gridCol w:w="6946"/>
      <w:gridCol w:w="3119"/>
    </w:tblGrid>
    <w:tr>
      <w:trPr>
        <w:trHeight w:val="1276" w:hRule="atLeast"/>
      </w:trPr>
      <w:tc>
        <w:tcPr>
          <w:tcW w:w="6946" w:type="dxa"/>
          <w:tcBorders>
            <w:top w:val="nil"/>
            <w:start w:val="nil"/>
            <w:bottom w:val="nil"/>
            <w:end w:val="nil"/>
          </w:tcBorders>
        </w:tcPr>
        <w:p>
          <w:pPr>
            <w:pStyle w:val="Header"/>
            <w:widowControl/>
            <w:spacing w:before="0" w:after="0"/>
            <w:jc w:val="start"/>
            <w:rPr>
              <w:rFonts w:ascii="Calibri" w:hAnsi="Calibri" w:eastAsia="ＭＳ 明朝" w:cs="Times New Roman"/>
              <w:kern w:val="0"/>
              <w:sz w:val="22"/>
              <w:szCs w:val="22"/>
              <w:lang w:val="ru-RU" w:eastAsia="ru-RU" w:bidi="ar-SA"/>
            </w:rPr>
          </w:pPr>
          <w:r>
            <w:rPr>
              <w:rFonts w:eastAsia="ＭＳ 明朝" w:cs="Times New Roman"/>
              <w:kern w:val="0"/>
              <w:sz w:val="22"/>
              <w:szCs w:val="22"/>
              <w:lang w:val="ru-RU" w:eastAsia="ru-RU" w:bidi="ar-SA"/>
            </w:rPr>
            <w:drawing>
              <wp:inline distT="0" distB="0" distL="0" distR="0">
                <wp:extent cx="2134235" cy="767715"/>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
                        <a:stretch>
                          <a:fillRect/>
                        </a:stretch>
                      </pic:blipFill>
                      <pic:spPr bwMode="auto">
                        <a:xfrm>
                          <a:off x="0" y="0"/>
                          <a:ext cx="2134235" cy="767715"/>
                        </a:xfrm>
                        <a:prstGeom prst="rect">
                          <a:avLst/>
                        </a:prstGeom>
                        <a:noFill/>
                      </pic:spPr>
                    </pic:pic>
                  </a:graphicData>
                </a:graphic>
              </wp:inline>
            </w:drawing>
          </w:r>
        </w:p>
        <w:p>
          <w:pPr>
            <w:pStyle w:val="Header"/>
            <w:widowControl/>
            <w:spacing w:before="0" w:after="0"/>
            <w:jc w:val="start"/>
            <w:rPr>
              <w:rFonts w:ascii="Calibri" w:hAnsi="Calibri" w:eastAsia="ＭＳ 明朝" w:cs="Times New Roman"/>
              <w:kern w:val="0"/>
              <w:sz w:val="22"/>
              <w:szCs w:val="22"/>
              <w:lang w:val="ru-RU" w:eastAsia="ru-RU" w:bidi="ar-SA"/>
            </w:rPr>
          </w:pPr>
          <w:r>
            <w:rPr>
              <w:rFonts w:eastAsia="ＭＳ 明朝" w:cs="Times New Roman"/>
              <w:kern w:val="0"/>
              <w:sz w:val="22"/>
              <w:szCs w:val="22"/>
              <w:lang w:val="ru-RU" w:eastAsia="ru-RU" w:bidi="ar-SA"/>
            </w:rPr>
          </w:r>
        </w:p>
      </w:tc>
      <w:tc>
        <w:tcPr>
          <w:tcW w:w="3119" w:type="dxa"/>
          <w:tcBorders>
            <w:top w:val="nil"/>
            <w:start w:val="nil"/>
            <w:bottom w:val="nil"/>
            <w:end w:val="nil"/>
          </w:tcBorders>
        </w:tcPr>
        <w:p>
          <w:pPr>
            <w:pStyle w:val="Header"/>
            <w:widowControl/>
            <w:spacing w:before="0" w:after="0"/>
            <w:jc w:val="start"/>
            <w:rPr>
              <w:rFonts w:ascii="Times New Roman" w:hAnsi="Times New Roman"/>
              <w:i/>
              <w:color w:themeColor="text1" w:val="000000"/>
              <w:sz w:val="24"/>
              <w:szCs w:val="24"/>
            </w:rPr>
          </w:pPr>
          <w:r>
            <w:rPr>
              <w:rFonts w:eastAsia="ＭＳ 明朝" w:cs="Times New Roman" w:ascii="Times New Roman" w:hAnsi="Times New Roman"/>
              <w:i/>
              <w:color w:themeColor="text1" w:val="000000"/>
              <w:kern w:val="0"/>
              <w:sz w:val="24"/>
              <w:szCs w:val="24"/>
              <w:lang w:val="ru-RU" w:eastAsia="ru-RU" w:bidi="ar-SA"/>
            </w:rPr>
            <w:t>Информация и необходимые</w:t>
          </w:r>
        </w:p>
        <w:p>
          <w:pPr>
            <w:pStyle w:val="Header"/>
            <w:widowControl/>
            <w:spacing w:before="0" w:after="0"/>
            <w:jc w:val="start"/>
            <w:rPr>
              <w:rFonts w:ascii="Times New Roman" w:hAnsi="Times New Roman"/>
              <w:i/>
              <w:color w:themeColor="text1" w:val="000000"/>
              <w:sz w:val="24"/>
              <w:szCs w:val="24"/>
            </w:rPr>
          </w:pPr>
          <w:r>
            <w:rPr>
              <w:rFonts w:eastAsia="ＭＳ 明朝" w:cs="Times New Roman" w:ascii="Times New Roman" w:hAnsi="Times New Roman"/>
              <w:i/>
              <w:color w:themeColor="text1" w:val="000000"/>
              <w:kern w:val="0"/>
              <w:sz w:val="24"/>
              <w:szCs w:val="24"/>
              <w:lang w:val="ru-RU" w:eastAsia="ru-RU" w:bidi="ar-SA"/>
            </w:rPr>
            <w:t>документы о банкротстве</w:t>
          </w:r>
        </w:p>
        <w:p>
          <w:pPr>
            <w:pStyle w:val="Header"/>
            <w:widowControl/>
            <w:spacing w:before="0" w:after="0"/>
            <w:jc w:val="start"/>
            <w:rPr>
              <w:rFonts w:ascii="Times New Roman" w:hAnsi="Times New Roman"/>
              <w:i/>
              <w:color w:themeColor="text1" w:val="000000"/>
              <w:sz w:val="24"/>
              <w:szCs w:val="24"/>
            </w:rPr>
          </w:pPr>
          <w:r>
            <w:rPr>
              <w:rFonts w:eastAsia="ＭＳ 明朝" w:cs="Times New Roman" w:ascii="Times New Roman" w:hAnsi="Times New Roman"/>
              <w:i/>
              <w:color w:themeColor="text1" w:val="000000"/>
              <w:kern w:val="0"/>
              <w:sz w:val="24"/>
              <w:szCs w:val="24"/>
              <w:lang w:val="ru-RU" w:eastAsia="ru-RU" w:bidi="ar-SA"/>
            </w:rPr>
            <w:t>физлиц на сайте</w:t>
          </w:r>
        </w:p>
        <w:p>
          <w:pPr>
            <w:pStyle w:val="Header"/>
            <w:widowControl/>
            <w:spacing w:before="0" w:after="0"/>
            <w:jc w:val="start"/>
            <w:rPr>
              <w:rFonts w:ascii="Calibri" w:hAnsi="Calibri" w:eastAsia="ＭＳ 明朝" w:cs="Times New Roman"/>
              <w:kern w:val="0"/>
              <w:sz w:val="22"/>
              <w:szCs w:val="22"/>
              <w:lang w:val="ru-RU" w:eastAsia="ru-RU" w:bidi="ar-SA"/>
            </w:rPr>
          </w:pPr>
          <w:r>
            <w:rPr>
              <w:rFonts w:eastAsia="ＭＳ 明朝" w:cs="Times New Roman" w:ascii="Times New Roman" w:hAnsi="Times New Roman"/>
              <w:i/>
              <w:color w:themeColor="text1" w:val="000000"/>
              <w:kern w:val="0"/>
              <w:sz w:val="24"/>
              <w:szCs w:val="24"/>
              <w:lang w:val="ru-RU" w:eastAsia="ru-RU" w:bidi="ar-SA"/>
            </w:rPr>
            <w:t>www.bankrotstvo-476.ru</w:t>
          </w:r>
        </w:p>
      </w:tc>
    </w:tr>
  </w:tbl>
  <w:p>
    <w:pPr>
      <w:pStyle w:val="Header"/>
      <w:rPr/>
    </w:pPr>
    <w:r>
      <w:rPr/>
    </w:r>
  </w:p>
</w:hdr>
</file>

<file path=word/settings.xml><?xml version="1.0" encoding="utf-8"?>
<w:settings xmlns:w="http://schemas.openxmlformats.org/wordprocessingml/2006/main">
  <w:zoom w:percent="100"/>
  <w:embedSystemFonts/>
  <w:defaultTabStop w:val="720"/>
  <w:autoHyphenation w:val="true"/>
  <w:hyphenationZone w:val="0"/>
  <w:compat>
    <w:balanceSingleByteDoubleByteWidth/>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ＭＳ 明朝" w:cs="Times New Roman" w:asciiTheme="minorHAns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ＭＳ 明朝" w:cs="Times New Roman" w:asciiTheme="minorHAnsi" w:eastAsiaTheme="minorEastAsia" w:hAnsiTheme="minorHAnsi"/>
      <w:color w:val="auto"/>
      <w:kern w:val="0"/>
      <w:sz w:val="22"/>
      <w:szCs w:val="22"/>
      <w:lang w:val="ru-RU" w:eastAsia="ru-RU" w:bidi="ar-SA"/>
    </w:rPr>
  </w:style>
  <w:style w:type="paragraph" w:styleId="Heading1">
    <w:name w:val="heading 1"/>
    <w:basedOn w:val="Normal"/>
    <w:next w:val="Normal"/>
    <w:link w:val="1"/>
    <w:qFormat/>
    <w:rsid w:val="00490b11"/>
    <w:pPr>
      <w:keepNext w:val="true"/>
      <w:spacing w:lineRule="auto" w:line="240" w:before="0" w:after="0"/>
      <w:ind w:start="5580"/>
      <w:outlineLvl w:val="0"/>
    </w:pPr>
    <w:rPr>
      <w:rFonts w:ascii="Times New Roman" w:hAnsi="Times New Roman" w:eastAsia="Times New Roman"/>
      <w:b/>
      <w:bCs/>
      <w:sz w:val="24"/>
      <w:szCs w:val="24"/>
    </w:rPr>
  </w:style>
  <w:style w:type="paragraph" w:styleId="Heading2">
    <w:name w:val="heading 2"/>
    <w:basedOn w:val="Normal"/>
    <w:next w:val="Normal"/>
    <w:link w:val="2"/>
    <w:qFormat/>
    <w:rsid w:val="00490b11"/>
    <w:pPr>
      <w:keepNext w:val="true"/>
      <w:spacing w:lineRule="auto" w:line="240" w:before="0" w:after="0"/>
      <w:jc w:val="center"/>
      <w:outlineLvl w:val="1"/>
    </w:pPr>
    <w:rPr>
      <w:rFonts w:ascii="Times New Roman" w:hAnsi="Times New Roman" w:eastAsia="Times New Roman"/>
      <w:b/>
      <w:bCs/>
      <w:sz w:val="24"/>
      <w:szCs w:val="24"/>
    </w:rPr>
  </w:style>
  <w:style w:type="paragraph" w:styleId="Heading3">
    <w:name w:val="heading 3"/>
    <w:basedOn w:val="Normal"/>
    <w:next w:val="Normal"/>
    <w:link w:val="3"/>
    <w:qFormat/>
    <w:rsid w:val="00490b11"/>
    <w:pPr>
      <w:keepNext w:val="true"/>
      <w:spacing w:lineRule="auto" w:line="240" w:before="0" w:after="0"/>
      <w:jc w:val="both"/>
      <w:outlineLvl w:val="2"/>
    </w:pPr>
    <w:rPr>
      <w:rFonts w:ascii="Times New Roman" w:hAnsi="Times New Roman" w:eastAsia="Times New Roman"/>
      <w:b/>
      <w:bCs/>
      <w:sz w:val="24"/>
      <w:szCs w:val="24"/>
    </w:rPr>
  </w:style>
  <w:style w:type="character" w:styleId="DefaultParagraphFont" w:default="1">
    <w:name w:val="Default Paragraph Font"/>
    <w:uiPriority w:val="1"/>
    <w:semiHidden/>
    <w:unhideWhenUsed/>
    <w:qFormat/>
    <w:rPr/>
  </w:style>
  <w:style w:type="character" w:styleId="Style11" w:customStyle="1">
    <w:name w:val="Верхний колонтитул Знак"/>
    <w:basedOn w:val="DefaultParagraphFont"/>
    <w:uiPriority w:val="99"/>
    <w:qFormat/>
    <w:rPr/>
  </w:style>
  <w:style w:type="character" w:styleId="Style12" w:customStyle="1">
    <w:name w:val="Нижний колонтитул Знак"/>
    <w:basedOn w:val="DefaultParagraphFont"/>
    <w:uiPriority w:val="99"/>
    <w:qFormat/>
    <w:rPr/>
  </w:style>
  <w:style w:type="character" w:styleId="Style13" w:customStyle="1">
    <w:name w:val="Текст выноски Знак"/>
    <w:basedOn w:val="DefaultParagraphFont"/>
    <w:link w:val="BalloonText"/>
    <w:uiPriority w:val="99"/>
    <w:semiHidden/>
    <w:qFormat/>
    <w:rsid w:val="009643d7"/>
    <w:rPr>
      <w:rFonts w:ascii="Lucida Grande CY" w:hAnsi="Lucida Grande CY" w:cs="Lucida Grande CY"/>
      <w:sz w:val="18"/>
      <w:szCs w:val="18"/>
    </w:rPr>
  </w:style>
  <w:style w:type="character" w:styleId="Style14" w:customStyle="1">
    <w:name w:val="Без интервала Знак"/>
    <w:basedOn w:val="DefaultParagraphFont"/>
    <w:link w:val="NoSpacing"/>
    <w:qFormat/>
    <w:rsid w:val="009643d7"/>
    <w:rPr>
      <w:rFonts w:ascii="PMingLiU" w:hAnsi="PMingLiU" w:cs="" w:cstheme="minorBidi"/>
    </w:rPr>
  </w:style>
  <w:style w:type="character" w:styleId="Hyperlink">
    <w:name w:val="Hyperlink"/>
    <w:basedOn w:val="DefaultParagraphFont"/>
    <w:uiPriority w:val="99"/>
    <w:unhideWhenUsed/>
    <w:rsid w:val="009643d7"/>
    <w:rPr>
      <w:color w:themeColor="hyperlink" w:val="0563C1"/>
      <w:u w:val="single"/>
    </w:rPr>
  </w:style>
  <w:style w:type="character" w:styleId="FollowedHyperlink">
    <w:name w:val="FollowedHyperlink"/>
    <w:basedOn w:val="DefaultParagraphFont"/>
    <w:uiPriority w:val="99"/>
    <w:semiHidden/>
    <w:unhideWhenUsed/>
    <w:rsid w:val="009643d7"/>
    <w:rPr>
      <w:color w:themeColor="followedHyperlink" w:val="954F72"/>
      <w:u w:val="single"/>
    </w:rPr>
  </w:style>
  <w:style w:type="character" w:styleId="1" w:customStyle="1">
    <w:name w:val="Заголовок 1 Знак"/>
    <w:basedOn w:val="DefaultParagraphFont"/>
    <w:qFormat/>
    <w:rsid w:val="00490b11"/>
    <w:rPr>
      <w:rFonts w:ascii="Times New Roman" w:hAnsi="Times New Roman" w:eastAsia="Times New Roman"/>
      <w:b/>
      <w:bCs/>
      <w:sz w:val="24"/>
      <w:szCs w:val="24"/>
    </w:rPr>
  </w:style>
  <w:style w:type="character" w:styleId="2" w:customStyle="1">
    <w:name w:val="Заголовок 2 Знак"/>
    <w:basedOn w:val="DefaultParagraphFont"/>
    <w:qFormat/>
    <w:rsid w:val="00490b11"/>
    <w:rPr>
      <w:rFonts w:ascii="Times New Roman" w:hAnsi="Times New Roman" w:eastAsia="Times New Roman"/>
      <w:b/>
      <w:bCs/>
      <w:sz w:val="24"/>
      <w:szCs w:val="24"/>
    </w:rPr>
  </w:style>
  <w:style w:type="character" w:styleId="3" w:customStyle="1">
    <w:name w:val="Заголовок 3 Знак"/>
    <w:basedOn w:val="DefaultParagraphFont"/>
    <w:qFormat/>
    <w:rsid w:val="00490b11"/>
    <w:rPr>
      <w:rFonts w:ascii="Times New Roman" w:hAnsi="Times New Roman" w:eastAsia="Times New Roman"/>
      <w:b/>
      <w:bCs/>
      <w:sz w:val="24"/>
      <w:szCs w:val="24"/>
    </w:rPr>
  </w:style>
  <w:style w:type="character" w:styleId="apple-tab-span" w:customStyle="1">
    <w:name w:val="apple-tab-span"/>
    <w:basedOn w:val="DefaultParagraphFont"/>
    <w:qFormat/>
    <w:rsid w:val="008820bd"/>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rPr>
  </w:style>
  <w:style w:type="paragraph" w:styleId="Style17">
    <w:name w:val="Колонтитулы"/>
    <w:basedOn w:val="Normal"/>
    <w:qFormat/>
    <w:pPr/>
    <w:rPr/>
  </w:style>
  <w:style w:type="paragraph" w:styleId="Header">
    <w:name w:val="header"/>
    <w:basedOn w:val="Normal"/>
    <w:link w:val="Style11"/>
    <w:uiPriority w:val="99"/>
    <w:unhideWhenUsed/>
    <w:pPr>
      <w:tabs>
        <w:tab w:val="clear" w:pos="720"/>
        <w:tab w:val="center" w:pos="4680" w:leader="none"/>
        <w:tab w:val="right" w:pos="9360" w:leader="none"/>
      </w:tabs>
      <w:spacing w:lineRule="auto" w:line="240" w:before="0" w:after="0"/>
    </w:pPr>
    <w:rPr/>
  </w:style>
  <w:style w:type="paragraph" w:styleId="Footer">
    <w:name w:val="footer"/>
    <w:basedOn w:val="Normal"/>
    <w:link w:val="Style12"/>
    <w:uiPriority w:val="99"/>
    <w:unhideWhenUsed/>
    <w:pPr>
      <w:tabs>
        <w:tab w:val="clear" w:pos="720"/>
        <w:tab w:val="center" w:pos="4680" w:leader="none"/>
        <w:tab w:val="right" w:pos="9360" w:leader="none"/>
      </w:tabs>
      <w:spacing w:lineRule="auto" w:line="240" w:before="0" w:after="0"/>
    </w:pPr>
    <w:rPr/>
  </w:style>
  <w:style w:type="paragraph" w:styleId="BalloonText">
    <w:name w:val="Balloon Text"/>
    <w:basedOn w:val="Normal"/>
    <w:link w:val="Style13"/>
    <w:uiPriority w:val="99"/>
    <w:semiHidden/>
    <w:unhideWhenUsed/>
    <w:qFormat/>
    <w:rsid w:val="009643d7"/>
    <w:pPr>
      <w:spacing w:lineRule="auto" w:line="240" w:before="0" w:after="0"/>
    </w:pPr>
    <w:rPr>
      <w:rFonts w:ascii="Lucida Grande CY" w:hAnsi="Lucida Grande CY" w:cs="Lucida Grande CY"/>
      <w:sz w:val="18"/>
      <w:szCs w:val="18"/>
    </w:rPr>
  </w:style>
  <w:style w:type="paragraph" w:styleId="NoSpacing">
    <w:name w:val="No Spacing"/>
    <w:link w:val="Style14"/>
    <w:qFormat/>
    <w:rsid w:val="009643d7"/>
    <w:pPr>
      <w:widowControl/>
      <w:bidi w:val="0"/>
      <w:spacing w:lineRule="auto" w:line="240" w:before="0" w:after="0"/>
      <w:jc w:val="start"/>
    </w:pPr>
    <w:rPr>
      <w:rFonts w:ascii="PMingLiU" w:hAnsi="PMingLiU" w:cs="" w:cstheme="minorBidi" w:eastAsia="ＭＳ 明朝"/>
      <w:color w:val="auto"/>
      <w:kern w:val="0"/>
      <w:sz w:val="22"/>
      <w:szCs w:val="22"/>
      <w:lang w:val="ru-RU" w:eastAsia="ru-RU" w:bidi="ar-SA"/>
    </w:rPr>
  </w:style>
  <w:style w:type="paragraph" w:styleId="ListParagraph">
    <w:name w:val="List Paragraph"/>
    <w:basedOn w:val="Normal"/>
    <w:uiPriority w:val="34"/>
    <w:qFormat/>
    <w:rsid w:val="006f1c3e"/>
    <w:pPr>
      <w:spacing w:before="0" w:after="160"/>
      <w:ind w:start="720"/>
      <w:contextualSpacing/>
    </w:pPr>
    <w:rPr/>
  </w:style>
  <w:style w:type="paragraph" w:styleId="NormalWeb">
    <w:name w:val="Normal (Web)"/>
    <w:basedOn w:val="Normal"/>
    <w:uiPriority w:val="99"/>
    <w:semiHidden/>
    <w:unhideWhenUsed/>
    <w:qFormat/>
    <w:rsid w:val="008820bd"/>
    <w:pPr>
      <w:spacing w:lineRule="auto" w:line="240" w:beforeAutospacing="1" w:afterAutospacing="1"/>
    </w:pPr>
    <w:rPr>
      <w:rFonts w:ascii="Times New Roman" w:hAnsi="Times New Roman" w:eastAsia="Times New Roman"/>
      <w:sz w:val="24"/>
      <w:szCs w:val="24"/>
    </w:rPr>
  </w:style>
  <w:style w:type="paragraph" w:styleId="Style18">
    <w:name w:val="Содержимое врезки"/>
    <w:basedOn w:val="Normal"/>
    <w:qFormat/>
    <w:pPr/>
    <w:rPr/>
  </w:style>
  <w:style w:type="numbering" w:styleId="Style19"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1">
    <w:name w:val="Light Shading Accent 1"/>
    <w:basedOn w:val="a1"/>
    <w:uiPriority w:val="60"/>
    <w:rsid w:val="00680fc1"/>
    <w:pPr>
      <w:spacing w:after="0" w:line="240" w:lineRule="auto"/>
    </w:pPr>
    <w:rPr>
      <w:rFonts w:cstheme="minorBidi"/>
      <w:color w:val="2e74b5" w:themeColor="accent1" w:themeShade="bf"/>
    </w:rPr>
    <w:tblPr>
      <w:tblStyleRowBandSize w:val="1"/>
      <w:tblStyleColBandSize w:val="1"/>
      <w:tblBorders>
        <w:top w:val="single" w:color="5B9BD5" w:themeColor="accent1" w:sz="8" w:space="0"/>
        <w:bottom w:val="single" w:color="5B9BD5" w:themeColor="accent1" w:sz="8" w:space="0"/>
      </w:tblBorders>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glossaryDocument" Target="glossary/document.xml"/><Relationship Id="rId12"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689B1F0FBFE02488AEF527F5AB08AAD"/>
        <w:category>
          <w:name w:val="Общие"/>
          <w:gallery w:val="placeholder"/>
        </w:category>
        <w:types>
          <w:type w:val="bbPlcHdr"/>
        </w:types>
        <w:behaviors>
          <w:behavior w:val="content"/>
        </w:behaviors>
        <w:guid w:val="{9F5AD2C3-83D1-AF4A-829B-8AFE4EF628C0}"/>
      </w:docPartPr>
      <w:docPartBody>
        <w:p w:rsidR="0089593E" w:rsidRDefault="0089593E" w:rsidP="0089593E">
          <w:pPr>
            <w:pStyle w:val="4689B1F0FBFE02488AEF527F5AB08AAD"/>
          </w:pPr>
          <w:r>
            <w:t>[Введите текст]</w:t>
          </w:r>
        </w:p>
      </w:docPartBody>
    </w:docPart>
    <w:docPart>
      <w:docPartPr>
        <w:name w:val="F0B90463AF1DDB4991E41828D9B0A344"/>
        <w:category>
          <w:name w:val="Общие"/>
          <w:gallery w:val="placeholder"/>
        </w:category>
        <w:types>
          <w:type w:val="bbPlcHdr"/>
        </w:types>
        <w:behaviors>
          <w:behavior w:val="content"/>
        </w:behaviors>
        <w:guid w:val="{EE42F647-896B-2E46-B429-C7DF870BDCEC}"/>
      </w:docPartPr>
      <w:docPartBody>
        <w:p w:rsidR="0089593E" w:rsidRDefault="0089593E" w:rsidP="0089593E">
          <w:pPr>
            <w:pStyle w:val="F0B90463AF1DDB4991E41828D9B0A344"/>
          </w:pPr>
          <w:r>
            <w:t>[Введите текст]</w:t>
          </w:r>
        </w:p>
      </w:docPartBody>
    </w:docPart>
    <w:docPart>
      <w:docPartPr>
        <w:name w:val="BAFBA0966063334C92C113FC5264903D"/>
        <w:category>
          <w:name w:val="Общие"/>
          <w:gallery w:val="placeholder"/>
        </w:category>
        <w:types>
          <w:type w:val="bbPlcHdr"/>
        </w:types>
        <w:behaviors>
          <w:behavior w:val="content"/>
        </w:behaviors>
        <w:guid w:val="{849B5564-31FC-3647-A42C-4BE9B253E121}"/>
      </w:docPartPr>
      <w:docPartBody>
        <w:p w:rsidR="0089593E" w:rsidRDefault="0089593E" w:rsidP="0089593E">
          <w:pPr>
            <w:pStyle w:val="BAFBA0966063334C92C113FC5264903D"/>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Lucida Grande CY">
    <w:charset w:val="59"/>
    <w:family w:val="auto"/>
    <w:pitch w:val="variable"/>
    <w:sig w:usb0="E1000AEF" w:usb1="5000A1FF" w:usb2="00000000" w:usb3="00000000" w:csb0="000001B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593E"/>
    <w:rsid w:val="000C5FA0"/>
    <w:rsid w:val="001477FC"/>
    <w:rsid w:val="00266DF8"/>
    <w:rsid w:val="00275506"/>
    <w:rsid w:val="00436B84"/>
    <w:rsid w:val="004A2A06"/>
    <w:rsid w:val="006662BF"/>
    <w:rsid w:val="006C4115"/>
    <w:rsid w:val="0089593E"/>
    <w:rsid w:val="00AE7592"/>
    <w:rsid w:val="00D225FD"/>
    <w:rsid w:val="00E0181A"/>
    <w:rsid w:val="00FB244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ru-R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689B1F0FBFE02488AEF527F5AB08AAD">
    <w:name w:val="4689B1F0FBFE02488AEF527F5AB08AAD"/>
    <w:rsid w:val="0089593E"/>
  </w:style>
  <w:style w:type="paragraph" w:customStyle="1" w:styleId="F0B90463AF1DDB4991E41828D9B0A344">
    <w:name w:val="F0B90463AF1DDB4991E41828D9B0A344"/>
    <w:rsid w:val="0089593E"/>
  </w:style>
  <w:style w:type="paragraph" w:customStyle="1" w:styleId="BAFBA0966063334C92C113FC5264903D">
    <w:name w:val="BAFBA0966063334C92C113FC5264903D"/>
    <w:rsid w:val="00895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06806-4769-4F83-A283-3778C3DB1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LibreOffice/26.2.6.3$Windows_X86_64 LibreOffice_project/8221e31b3ac356a1623c672912a3d2b492f7e3d1</Application>
  <AppVersion>15.0000</AppVersion>
  <Pages>4</Pages>
  <Words>563</Words>
  <Characters>4307</Characters>
  <CharactersWithSpaces>4860</CharactersWithSpaces>
  <Paragraphs>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2026-07-24T09:17:00Z</dcterms:created>
  <dc:creator>Национальный Центр Банкротств</dc:creator>
  <dc:description>https://bankrotstvo-476.ru/</dc:description>
  <dc:language>ru-RU</dc:language>
  <cp:lastModifiedBy/>
  <dcterms:modified xsi:type="dcterms:W3CDTF">2026-11-03T08:52:31Z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